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0.wmf" ContentType="image/x-wmf"/>
  <Override PartName="/word/media/image7.png" ContentType="image/png"/>
  <Override PartName="/word/media/image8.png" ContentType="image/png"/>
  <Override PartName="/word/media/image9.wmf" ContentType="image/x-wmf"/>
  <Override PartName="/word/styles.xml" ContentType="application/vnd.openxmlformats-officedocument.wordprocessingml.styles+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ind w:firstLine="567"/>
        <w:jc w:val="center"/>
        <w:rPr>
          <w:sz w:val="24"/>
          <w:szCs w:val="24"/>
        </w:rPr>
      </w:pPr>
      <w:r>
        <w:rPr>
          <w:sz w:val="24"/>
          <w:szCs w:val="24"/>
        </w:rPr>
        <w:t>Государственное бюджетное учреждение дополнительного образования</w:t>
      </w:r>
    </w:p>
    <w:p>
      <w:pPr>
        <w:pStyle w:val="Normal"/>
        <w:spacing w:lineRule="auto" w:line="360"/>
        <w:ind w:firstLine="567"/>
        <w:jc w:val="center"/>
        <w:rPr>
          <w:sz w:val="24"/>
          <w:szCs w:val="24"/>
        </w:rPr>
      </w:pPr>
      <w:r>
        <w:rPr>
          <w:sz w:val="24"/>
          <w:szCs w:val="24"/>
        </w:rPr>
        <w:t>Центр психолого-педагогической, медицинской и социальной помощи</w:t>
      </w:r>
    </w:p>
    <w:p>
      <w:pPr>
        <w:pStyle w:val="Normal"/>
        <w:spacing w:lineRule="auto" w:line="360"/>
        <w:ind w:firstLine="567"/>
        <w:jc w:val="center"/>
        <w:rPr>
          <w:sz w:val="24"/>
          <w:szCs w:val="24"/>
        </w:rPr>
      </w:pPr>
      <w:r>
        <w:rPr>
          <w:sz w:val="24"/>
          <w:szCs w:val="24"/>
        </w:rPr>
        <w:t>Выборгского района Санкт-Петербурга</w:t>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sz w:val="24"/>
          <w:szCs w:val="24"/>
        </w:rPr>
      </w:pPr>
      <w:r>
        <w:rPr>
          <w:sz w:val="24"/>
          <w:szCs w:val="24"/>
        </w:rPr>
      </w:r>
    </w:p>
    <w:p>
      <w:pPr>
        <w:pStyle w:val="13"/>
        <w:spacing w:lineRule="auto" w:line="360"/>
        <w:ind w:firstLine="567"/>
        <w:jc w:val="center"/>
        <w:rPr>
          <w:rFonts w:ascii="Times New Roman" w:hAnsi="Times New Roman" w:cs="Times New Roman"/>
          <w:sz w:val="24"/>
          <w:szCs w:val="24"/>
          <w:u w:val="single"/>
        </w:rPr>
      </w:pPr>
      <w:r>
        <w:rPr>
          <w:rFonts w:cs="Times New Roman" w:ascii="Times New Roman" w:hAnsi="Times New Roman"/>
          <w:sz w:val="24"/>
          <w:szCs w:val="24"/>
          <w:u w:val="single"/>
        </w:rPr>
      </w:r>
    </w:p>
    <w:p>
      <w:pPr>
        <w:pStyle w:val="13"/>
        <w:spacing w:lineRule="auto" w:line="360"/>
        <w:ind w:firstLine="567"/>
        <w:jc w:val="center"/>
        <w:rPr>
          <w:rFonts w:ascii="Times New Roman" w:hAnsi="Times New Roman" w:cs="Times New Roman"/>
          <w:sz w:val="24"/>
          <w:szCs w:val="24"/>
          <w:u w:val="single"/>
        </w:rPr>
      </w:pPr>
      <w:r>
        <w:rPr>
          <w:rFonts w:cs="Times New Roman" w:ascii="Times New Roman" w:hAnsi="Times New Roman"/>
          <w:sz w:val="24"/>
          <w:szCs w:val="24"/>
          <w:u w:val="single"/>
        </w:rPr>
      </w:r>
    </w:p>
    <w:p>
      <w:pPr>
        <w:pStyle w:val="Normal"/>
        <w:spacing w:lineRule="auto" w:line="360"/>
        <w:ind w:right="74" w:firstLine="539"/>
        <w:jc w:val="center"/>
        <w:rPr>
          <w:b/>
          <w:b/>
          <w:sz w:val="24"/>
          <w:szCs w:val="24"/>
        </w:rPr>
      </w:pPr>
      <w:r>
        <w:rPr>
          <w:b/>
          <w:sz w:val="24"/>
          <w:szCs w:val="24"/>
        </w:rPr>
        <w:t xml:space="preserve">МЕТОДИЧЕСКОЕ ПОСОБИЕ </w:t>
      </w:r>
    </w:p>
    <w:p>
      <w:pPr>
        <w:pStyle w:val="Normal"/>
        <w:spacing w:lineRule="auto" w:line="360"/>
        <w:ind w:right="74" w:firstLine="539"/>
        <w:jc w:val="center"/>
        <w:rPr>
          <w:b/>
          <w:b/>
          <w:sz w:val="24"/>
          <w:szCs w:val="24"/>
        </w:rPr>
      </w:pPr>
      <w:r>
        <w:rPr>
          <w:b/>
          <w:sz w:val="24"/>
          <w:szCs w:val="24"/>
        </w:rPr>
      </w:r>
    </w:p>
    <w:p>
      <w:pPr>
        <w:pStyle w:val="Normal"/>
        <w:spacing w:lineRule="auto" w:line="360"/>
        <w:ind w:right="74" w:firstLine="539"/>
        <w:jc w:val="center"/>
        <w:rPr>
          <w:b/>
          <w:b/>
          <w:sz w:val="24"/>
          <w:szCs w:val="24"/>
        </w:rPr>
      </w:pPr>
      <w:r>
        <w:rPr>
          <w:b/>
          <w:sz w:val="24"/>
          <w:szCs w:val="24"/>
        </w:rPr>
        <w:t xml:space="preserve">ПРОГРАММЫ ВНУТРИШКОЛЬНОГО ОБУЧЕНИЯ ПЕДАГОГИЧЕСКИХ РАБОТНИКОВ ОБРАЗОВАТЕЛЬНОГО УЧРЕЖДЕНИЯ, НАПРАВЛЕННЫЕ НА РАЗВИТИЕ У ОБУЧАЮЩИХСЯ С СДВГ ДЕФИЦИТАРНЫХ ФУНКЦИЙ </w:t>
      </w:r>
    </w:p>
    <w:p>
      <w:pPr>
        <w:pStyle w:val="Normal"/>
        <w:spacing w:lineRule="auto" w:line="360"/>
        <w:ind w:right="74" w:firstLine="539"/>
        <w:jc w:val="center"/>
        <w:rPr>
          <w:b/>
          <w:b/>
          <w:sz w:val="24"/>
          <w:szCs w:val="24"/>
        </w:rPr>
      </w:pPr>
      <w:r>
        <w:rPr>
          <w:b/>
          <w:sz w:val="24"/>
          <w:szCs w:val="24"/>
        </w:rPr>
        <w:t>(открытый электронный образовательный ресурс)</w:t>
      </w:r>
    </w:p>
    <w:p>
      <w:pPr>
        <w:pStyle w:val="Normal"/>
        <w:widowControl w:val="false"/>
        <w:autoSpaceDE w:val="false"/>
        <w:spacing w:lineRule="auto" w:line="360"/>
        <w:ind w:firstLine="567"/>
        <w:jc w:val="center"/>
        <w:rPr>
          <w:b/>
          <w:b/>
          <w:bCs/>
          <w:sz w:val="24"/>
          <w:szCs w:val="24"/>
        </w:rPr>
      </w:pPr>
      <w:r>
        <w:rPr>
          <w:b/>
          <w:bCs/>
          <w:sz w:val="24"/>
          <w:szCs w:val="24"/>
        </w:rPr>
      </w:r>
    </w:p>
    <w:p>
      <w:pPr>
        <w:pStyle w:val="Normal"/>
        <w:spacing w:lineRule="auto" w:line="360"/>
        <w:ind w:firstLine="567"/>
        <w:jc w:val="center"/>
        <w:rPr>
          <w:b/>
          <w:b/>
          <w:bCs/>
          <w:sz w:val="24"/>
          <w:szCs w:val="24"/>
        </w:rPr>
      </w:pPr>
      <w:r>
        <w:rPr>
          <w:b/>
          <w:bCs/>
          <w:sz w:val="24"/>
          <w:szCs w:val="24"/>
        </w:rPr>
      </w:r>
    </w:p>
    <w:p>
      <w:pPr>
        <w:pStyle w:val="Normal"/>
        <w:ind w:right="616" w:firstLine="539"/>
        <w:jc w:val="center"/>
        <w:rPr>
          <w:sz w:val="24"/>
          <w:szCs w:val="24"/>
        </w:rPr>
      </w:pPr>
      <w:r>
        <w:rPr>
          <w:sz w:val="24"/>
          <w:szCs w:val="24"/>
        </w:rPr>
        <w:t>Подготовлено в рамках деятельности региональной инновационной площадки</w:t>
      </w:r>
    </w:p>
    <w:p>
      <w:pPr>
        <w:pStyle w:val="Normal"/>
        <w:ind w:right="616" w:firstLine="539"/>
        <w:jc w:val="center"/>
        <w:rPr>
          <w:sz w:val="24"/>
          <w:szCs w:val="24"/>
        </w:rPr>
      </w:pPr>
      <w:r>
        <w:rPr>
          <w:sz w:val="24"/>
          <w:szCs w:val="24"/>
        </w:rPr>
        <w:t>ГБУ ДО ЦППМСП Выборгского района Санкт-Петербурга</w:t>
      </w:r>
    </w:p>
    <w:p>
      <w:pPr>
        <w:pStyle w:val="Normal"/>
        <w:ind w:right="616" w:firstLine="539"/>
        <w:jc w:val="center"/>
        <w:rPr>
          <w:sz w:val="24"/>
          <w:szCs w:val="24"/>
        </w:rPr>
      </w:pPr>
      <w:r>
        <w:rPr>
          <w:sz w:val="24"/>
          <w:szCs w:val="24"/>
        </w:rPr>
        <w:t>«Совершенствование условий организации и осуществления образовательного процесса для преодоления синдрома дефицита внимания и гиперактивности</w:t>
      </w:r>
    </w:p>
    <w:p>
      <w:pPr>
        <w:pStyle w:val="Normal"/>
        <w:ind w:right="616" w:firstLine="539"/>
        <w:jc w:val="center"/>
        <w:rPr>
          <w:sz w:val="24"/>
          <w:szCs w:val="24"/>
        </w:rPr>
      </w:pPr>
      <w:r>
        <w:rPr>
          <w:sz w:val="24"/>
          <w:szCs w:val="24"/>
        </w:rPr>
        <w:t>у обучающихся»</w:t>
      </w:r>
    </w:p>
    <w:p>
      <w:pPr>
        <w:pStyle w:val="Normal"/>
        <w:ind w:right="616" w:firstLine="539"/>
        <w:rPr>
          <w:sz w:val="24"/>
          <w:szCs w:val="24"/>
        </w:rPr>
      </w:pPr>
      <w:r>
        <w:rPr>
          <w:sz w:val="24"/>
          <w:szCs w:val="24"/>
        </w:rPr>
      </w:r>
    </w:p>
    <w:p>
      <w:pPr>
        <w:pStyle w:val="Normal"/>
        <w:ind w:right="616" w:firstLine="539"/>
        <w:rPr>
          <w:sz w:val="24"/>
          <w:szCs w:val="24"/>
        </w:rPr>
      </w:pPr>
      <w:r>
        <w:rPr>
          <w:sz w:val="24"/>
          <w:szCs w:val="24"/>
        </w:rPr>
      </w:r>
    </w:p>
    <w:p>
      <w:pPr>
        <w:pStyle w:val="Normal"/>
        <w:ind w:firstLine="540"/>
        <w:jc w:val="center"/>
        <w:rPr/>
      </w:pPr>
      <w:r>
        <w:rPr>
          <w:sz w:val="24"/>
          <w:szCs w:val="24"/>
        </w:rPr>
        <w:t>Утверждено на заседании научно-методического совета 14.09.2020 г.</w:t>
      </w:r>
    </w:p>
    <w:p>
      <w:pPr>
        <w:pStyle w:val="Normal"/>
        <w:jc w:val="center"/>
        <w:rPr>
          <w:color w:val="FF0000"/>
          <w:sz w:val="24"/>
          <w:szCs w:val="24"/>
        </w:rPr>
      </w:pPr>
      <w:r>
        <w:rPr>
          <w:color w:val="FF0000"/>
          <w:sz w:val="24"/>
          <w:szCs w:val="24"/>
        </w:rPr>
      </w:r>
    </w:p>
    <w:p>
      <w:pPr>
        <w:pStyle w:val="Normal"/>
        <w:jc w:val="center"/>
        <w:rPr>
          <w:color w:val="FF0000"/>
          <w:sz w:val="24"/>
          <w:szCs w:val="24"/>
        </w:rPr>
      </w:pPr>
      <w:r>
        <w:rPr>
          <w:color w:val="FF0000"/>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t>Санкт-Петербург, 2020</w:t>
      </w:r>
    </w:p>
    <w:p>
      <w:pPr>
        <w:pStyle w:val="Normal"/>
        <w:ind w:firstLine="567"/>
        <w:rPr>
          <w:b/>
          <w:b/>
          <w:color w:val="000000"/>
          <w:sz w:val="24"/>
          <w:szCs w:val="24"/>
          <w:shd w:fill="FFFFFF" w:val="clear"/>
        </w:rPr>
      </w:pPr>
      <w:r>
        <w:rPr>
          <w:b/>
          <w:color w:val="000000"/>
          <w:sz w:val="24"/>
          <w:szCs w:val="24"/>
          <w:shd w:fill="FFFFFF" w:val="clear"/>
        </w:rPr>
        <w:t>Авторы:</w:t>
      </w:r>
    </w:p>
    <w:p>
      <w:pPr>
        <w:pStyle w:val="Normal"/>
        <w:ind w:firstLine="567"/>
        <w:jc w:val="both"/>
        <w:rPr>
          <w:color w:val="222222"/>
          <w:sz w:val="24"/>
          <w:szCs w:val="24"/>
          <w:shd w:fill="FFFFFF" w:val="clear"/>
        </w:rPr>
      </w:pPr>
      <w:r>
        <w:rPr>
          <w:color w:val="000000"/>
          <w:sz w:val="24"/>
          <w:szCs w:val="24"/>
          <w:shd w:fill="FFFFFF" w:val="clear"/>
        </w:rPr>
        <w:t xml:space="preserve">Цыганкова Наталия Игоревна, кандидат психологических наук, руководитель региональной инновационной площадки Центра психолого-педагогической, медицинской и социальной помощи Выборгского района Санкт-Петербурга. </w:t>
      </w:r>
    </w:p>
    <w:p>
      <w:pPr>
        <w:pStyle w:val="Normal"/>
        <w:ind w:firstLine="540"/>
        <w:jc w:val="both"/>
        <w:rPr>
          <w:color w:val="222222"/>
          <w:sz w:val="24"/>
          <w:szCs w:val="24"/>
          <w:shd w:fill="FFFFFF" w:val="clear"/>
        </w:rPr>
      </w:pPr>
      <w:r>
        <w:rPr>
          <w:color w:val="222222"/>
          <w:sz w:val="24"/>
          <w:szCs w:val="24"/>
          <w:shd w:fill="FFFFFF" w:val="clear"/>
        </w:rPr>
        <w:t>Эрлих Олег Валерьевич, кандидат педагогических наук, заведующий кафедрой педагогики семьи ГБУ ДО СПб АППО.</w:t>
      </w:r>
    </w:p>
    <w:p>
      <w:pPr>
        <w:pStyle w:val="Normal"/>
        <w:ind w:firstLine="567"/>
        <w:jc w:val="both"/>
        <w:rPr>
          <w:color w:val="000000"/>
          <w:sz w:val="24"/>
          <w:szCs w:val="24"/>
          <w:shd w:fill="FFFFFF" w:val="clear"/>
        </w:rPr>
      </w:pPr>
      <w:r>
        <w:rPr>
          <w:color w:val="000000"/>
          <w:sz w:val="24"/>
          <w:szCs w:val="24"/>
          <w:shd w:fill="FFFFFF" w:val="clear"/>
        </w:rPr>
        <w:t>Кургинова Алевтина Николаевна, директор Центра психолого-педагогической, медицинской и социальной помощи Выборгского района Санкт-Петербурга.</w:t>
      </w:r>
    </w:p>
    <w:p>
      <w:pPr>
        <w:pStyle w:val="Normal"/>
        <w:ind w:firstLine="567"/>
        <w:jc w:val="both"/>
        <w:rPr>
          <w:color w:val="222222"/>
          <w:sz w:val="24"/>
          <w:szCs w:val="24"/>
          <w:shd w:fill="FFFFFF" w:val="clear"/>
        </w:rPr>
      </w:pPr>
      <w:r>
        <w:rPr>
          <w:color w:val="222222"/>
          <w:sz w:val="24"/>
          <w:szCs w:val="24"/>
          <w:shd w:fill="FFFFFF" w:val="clear"/>
        </w:rPr>
        <w:t>Шмакова Светлана Викторовна, методист Центра психолого-педагогической, медицинской и социальной помощи Выборгского района Санкт-Петербурга</w:t>
      </w:r>
    </w:p>
    <w:p>
      <w:pPr>
        <w:pStyle w:val="Normal"/>
        <w:ind w:firstLine="567"/>
        <w:jc w:val="both"/>
        <w:rPr>
          <w:sz w:val="24"/>
          <w:szCs w:val="24"/>
        </w:rPr>
      </w:pPr>
      <w:r>
        <w:rPr>
          <w:color w:val="222222"/>
          <w:sz w:val="24"/>
          <w:szCs w:val="24"/>
        </w:rPr>
        <w:t>Воробей Анна Андреевна, педагог-психолог, методист Центра психолого-педагогической, медицинской и социальной помощи Выборгского района Санкт-Петербурга.</w:t>
      </w:r>
    </w:p>
    <w:p>
      <w:pPr>
        <w:pStyle w:val="Normal"/>
        <w:ind w:firstLine="567"/>
        <w:jc w:val="both"/>
        <w:rPr>
          <w:color w:val="222222"/>
          <w:sz w:val="24"/>
          <w:szCs w:val="24"/>
        </w:rPr>
      </w:pPr>
      <w:r>
        <w:rPr>
          <w:color w:val="222222"/>
          <w:sz w:val="24"/>
          <w:szCs w:val="24"/>
        </w:rPr>
      </w:r>
    </w:p>
    <w:p>
      <w:pPr>
        <w:pStyle w:val="Normal"/>
        <w:jc w:val="both"/>
        <w:rPr>
          <w:color w:val="222222"/>
          <w:sz w:val="24"/>
          <w:szCs w:val="24"/>
          <w:shd w:fill="FFFFFF" w:val="clear"/>
        </w:rPr>
      </w:pPr>
      <w:r>
        <w:rPr>
          <w:color w:val="222222"/>
          <w:sz w:val="24"/>
          <w:szCs w:val="24"/>
          <w:shd w:fill="FFFFFF" w:val="clear"/>
        </w:rPr>
      </w:r>
    </w:p>
    <w:p>
      <w:pPr>
        <w:pStyle w:val="Normal"/>
        <w:ind w:firstLine="567"/>
        <w:jc w:val="both"/>
        <w:rPr>
          <w:color w:val="222222"/>
          <w:sz w:val="24"/>
          <w:szCs w:val="24"/>
          <w:shd w:fill="FFFFFF" w:val="clear"/>
        </w:rPr>
      </w:pPr>
      <w:r>
        <w:rPr>
          <w:color w:val="222222"/>
          <w:sz w:val="24"/>
          <w:szCs w:val="24"/>
          <w:shd w:fill="FFFFFF" w:val="clear"/>
        </w:rPr>
        <w:t xml:space="preserve">Под научной редакцией Цыганковой Н.И., к. психол. н., доцента кафедры педагогики семьи ГБУ ДО СПб АППО, руководителя региональной инновационной площадки Центра психолого-педагогической, медицинской и социальной помощи Выборгского района Санкт-Петербурга, Эрлиха О.В., к. пед. н., заведующего кафедрой педагогики семьи ГБУ ДО СПб АППО. </w:t>
      </w:r>
    </w:p>
    <w:p>
      <w:pPr>
        <w:pStyle w:val="Normal"/>
        <w:ind w:firstLine="567"/>
        <w:jc w:val="both"/>
        <w:rPr>
          <w:color w:val="222222"/>
          <w:sz w:val="24"/>
          <w:szCs w:val="24"/>
          <w:shd w:fill="FFFFFF" w:val="clear"/>
        </w:rPr>
      </w:pPr>
      <w:r>
        <w:rPr>
          <w:color w:val="222222"/>
          <w:sz w:val="24"/>
          <w:szCs w:val="24"/>
          <w:shd w:fill="FFFFFF" w:val="clear"/>
        </w:rPr>
      </w:r>
    </w:p>
    <w:p>
      <w:pPr>
        <w:pStyle w:val="Normal"/>
        <w:ind w:firstLine="567"/>
        <w:jc w:val="both"/>
        <w:rPr>
          <w:color w:val="222222"/>
          <w:sz w:val="24"/>
          <w:szCs w:val="24"/>
          <w:shd w:fill="FFFFFF" w:val="clear"/>
        </w:rPr>
      </w:pPr>
      <w:r>
        <w:rPr>
          <w:color w:val="222222"/>
          <w:sz w:val="24"/>
          <w:szCs w:val="24"/>
          <w:shd w:fill="FFFFFF" w:val="clear"/>
        </w:rPr>
      </w:r>
    </w:p>
    <w:p>
      <w:pPr>
        <w:pStyle w:val="Normal"/>
        <w:ind w:firstLine="567"/>
        <w:jc w:val="both"/>
        <w:rPr/>
      </w:pPr>
      <w:r>
        <w:rPr>
          <w:color w:val="222222"/>
          <w:sz w:val="24"/>
          <w:szCs w:val="24"/>
          <w:shd w:fill="FFFFFF" w:val="clear"/>
        </w:rPr>
        <w:t xml:space="preserve">Методическое пособие содержит </w:t>
      </w:r>
      <w:r>
        <w:rPr>
          <w:sz w:val="24"/>
          <w:szCs w:val="24"/>
        </w:rPr>
        <w:t xml:space="preserve">примеры организации и проведения программ внутришкольного обучения педагогических работников образовательного учреждения, направленных на развитие и компенсацию дефицитарных функций у обучающихся с СДВГ в рамках формального и неформального повышения квалификации и обмена опытом </w:t>
      </w:r>
      <w:r>
        <w:rPr>
          <w:bCs/>
          <w:sz w:val="24"/>
          <w:szCs w:val="24"/>
        </w:rPr>
        <w:t>разработанные и апробированные в рамках</w:t>
      </w:r>
      <w:r>
        <w:rPr>
          <w:sz w:val="24"/>
          <w:szCs w:val="24"/>
        </w:rPr>
        <w:t xml:space="preserve"> региональной инновационной площадки на</w:t>
      </w:r>
      <w:r>
        <w:rPr>
          <w:b/>
          <w:sz w:val="24"/>
          <w:szCs w:val="24"/>
        </w:rPr>
        <w:t xml:space="preserve"> </w:t>
      </w:r>
      <w:r>
        <w:rPr>
          <w:sz w:val="24"/>
          <w:szCs w:val="24"/>
        </w:rPr>
        <w:t>базе ГБУ ДО ЦППМСП Выборгского района Санкт-Петербурга с целью реализации современной комплексной системной модели совершенствования условий организации и осуществления образовательного процесса.</w:t>
      </w:r>
    </w:p>
    <w:p>
      <w:pPr>
        <w:pStyle w:val="Normal"/>
        <w:ind w:firstLine="567"/>
        <w:jc w:val="both"/>
        <w:rPr/>
      </w:pPr>
      <w:r>
        <w:rPr>
          <w:sz w:val="24"/>
          <w:szCs w:val="24"/>
        </w:rPr>
        <w:t xml:space="preserve">Пособие </w:t>
      </w:r>
      <w:r>
        <w:rPr>
          <w:color w:val="222222"/>
          <w:sz w:val="24"/>
          <w:szCs w:val="24"/>
          <w:shd w:fill="FFFFFF" w:val="clear"/>
        </w:rPr>
        <w:t xml:space="preserve">адресовано педагогам, методистам, педагогам-психологам, классным руководителям общеобразовательных организаций и всем заинтересованным специалистам для </w:t>
      </w:r>
      <w:r>
        <w:rPr>
          <w:sz w:val="24"/>
          <w:szCs w:val="24"/>
          <w:shd w:fill="FFFFFF" w:val="clear"/>
        </w:rPr>
        <w:t>оказания методической поддержки в обучении и воспитании детей с СДВГ и помощи их семьям.</w:t>
      </w:r>
    </w:p>
    <w:p>
      <w:pPr>
        <w:pStyle w:val="Normal"/>
        <w:spacing w:lineRule="auto" w:line="360"/>
        <w:ind w:firstLine="567"/>
        <w:jc w:val="center"/>
        <w:rPr>
          <w:b/>
          <w:b/>
          <w:sz w:val="24"/>
          <w:szCs w:val="24"/>
          <w:shd w:fill="FFFFFF" w:val="clear"/>
        </w:rPr>
      </w:pPr>
      <w:r>
        <w:rPr>
          <w:b/>
          <w:sz w:val="24"/>
          <w:szCs w:val="24"/>
          <w:shd w:fill="FFFFFF" w:val="clear"/>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rPr>
      </w:pPr>
      <w:r>
        <w:rPr>
          <w:b/>
          <w:sz w:val="24"/>
          <w:szCs w:val="24"/>
        </w:rPr>
      </w:r>
    </w:p>
    <w:p>
      <w:pPr>
        <w:pStyle w:val="Normal"/>
        <w:spacing w:lineRule="auto" w:line="360"/>
        <w:ind w:firstLine="567"/>
        <w:jc w:val="center"/>
        <w:rPr>
          <w:b/>
          <w:b/>
          <w:sz w:val="24"/>
          <w:szCs w:val="24"/>
          <w:lang w:val="en-US"/>
        </w:rPr>
      </w:pPr>
      <w:r>
        <w:rPr>
          <w:b/>
          <w:sz w:val="24"/>
          <w:szCs w:val="24"/>
          <w:lang w:val="en-US"/>
        </w:rPr>
        <w:t>СОДЕРЖАНИЕ</w:t>
      </w:r>
    </w:p>
    <w:tbl>
      <w:tblPr>
        <w:tblW w:w="9757" w:type="dxa"/>
        <w:jc w:val="left"/>
        <w:tblInd w:w="-118" w:type="dxa"/>
        <w:tblLayout w:type="fixed"/>
        <w:tblCellMar>
          <w:top w:w="0" w:type="dxa"/>
          <w:left w:w="108" w:type="dxa"/>
          <w:bottom w:w="0" w:type="dxa"/>
          <w:right w:w="108" w:type="dxa"/>
        </w:tblCellMar>
      </w:tblPr>
      <w:tblGrid>
        <w:gridCol w:w="8570"/>
        <w:gridCol w:w="1187"/>
      </w:tblGrid>
      <w:tr>
        <w:trPr/>
        <w:tc>
          <w:tcPr>
            <w:tcW w:w="8570" w:type="dxa"/>
            <w:tcBorders>
              <w:top w:val="single" w:sz="4" w:space="0" w:color="000000"/>
              <w:left w:val="single" w:sz="4" w:space="0" w:color="000000"/>
              <w:bottom w:val="single" w:sz="4" w:space="0" w:color="000000"/>
              <w:right w:val="single" w:sz="4" w:space="0" w:color="000000"/>
            </w:tcBorders>
          </w:tcPr>
          <w:p>
            <w:pPr>
              <w:pStyle w:val="Normal"/>
              <w:spacing w:lineRule="auto" w:line="360"/>
              <w:rPr>
                <w:bCs/>
                <w:sz w:val="24"/>
                <w:szCs w:val="24"/>
              </w:rPr>
            </w:pPr>
            <w:r>
              <w:rPr>
                <w:bCs/>
                <w:sz w:val="24"/>
                <w:szCs w:val="24"/>
              </w:rPr>
              <w:t>ВВЕДЕНИЕ</w:t>
            </w:r>
          </w:p>
        </w:tc>
        <w:tc>
          <w:tcPr>
            <w:tcW w:w="1187" w:type="dxa"/>
            <w:tcBorders>
              <w:top w:val="single" w:sz="4" w:space="0" w:color="000000"/>
              <w:left w:val="single" w:sz="4" w:space="0" w:color="000000"/>
              <w:bottom w:val="single" w:sz="4" w:space="0" w:color="000000"/>
              <w:right w:val="single" w:sz="4" w:space="0" w:color="000000"/>
            </w:tcBorders>
          </w:tcPr>
          <w:p>
            <w:pPr>
              <w:pStyle w:val="Normal"/>
              <w:spacing w:lineRule="auto" w:line="360"/>
              <w:ind w:firstLine="77"/>
              <w:jc w:val="center"/>
              <w:rPr>
                <w:bCs/>
                <w:sz w:val="24"/>
                <w:szCs w:val="24"/>
              </w:rPr>
            </w:pPr>
            <w:r>
              <w:rPr>
                <w:bCs/>
                <w:sz w:val="24"/>
                <w:szCs w:val="24"/>
              </w:rPr>
              <w:t>4</w:t>
            </w:r>
          </w:p>
        </w:tc>
      </w:tr>
      <w:tr>
        <w:trPr/>
        <w:tc>
          <w:tcPr>
            <w:tcW w:w="8570" w:type="dxa"/>
            <w:tcBorders>
              <w:top w:val="single" w:sz="4" w:space="0" w:color="000000"/>
              <w:left w:val="single" w:sz="4" w:space="0" w:color="000000"/>
              <w:bottom w:val="single" w:sz="4" w:space="0" w:color="000000"/>
              <w:right w:val="single" w:sz="4" w:space="0" w:color="000000"/>
            </w:tcBorders>
          </w:tcPr>
          <w:p>
            <w:pPr>
              <w:pStyle w:val="14"/>
              <w:spacing w:lineRule="auto" w:line="360" w:before="0" w:after="0"/>
              <w:ind w:left="0" w:hanging="0"/>
              <w:contextualSpacing/>
              <w:rPr>
                <w:rFonts w:ascii="Times New Roman" w:hAnsi="Times New Roman" w:cs="Times New Roman"/>
                <w:bCs/>
                <w:sz w:val="24"/>
                <w:szCs w:val="24"/>
              </w:rPr>
            </w:pPr>
            <w:r>
              <w:rPr>
                <w:rFonts w:cs="Times New Roman" w:ascii="Times New Roman" w:hAnsi="Times New Roman"/>
                <w:bCs/>
                <w:sz w:val="24"/>
                <w:szCs w:val="24"/>
                <w:lang w:val="en-US" w:eastAsia="en-US"/>
              </w:rPr>
              <w:t>1. Профессиональная компетентность педагога как условие преодоления СДВГ у обучающихся в образовательном процессе</w:t>
            </w:r>
          </w:p>
        </w:tc>
        <w:tc>
          <w:tcPr>
            <w:tcW w:w="1187" w:type="dxa"/>
            <w:tcBorders>
              <w:top w:val="single" w:sz="4" w:space="0" w:color="000000"/>
              <w:left w:val="single" w:sz="4" w:space="0" w:color="000000"/>
              <w:bottom w:val="single" w:sz="4" w:space="0" w:color="000000"/>
              <w:right w:val="single" w:sz="4" w:space="0" w:color="000000"/>
            </w:tcBorders>
          </w:tcPr>
          <w:p>
            <w:pPr>
              <w:pStyle w:val="Normal"/>
              <w:spacing w:lineRule="auto" w:line="360"/>
              <w:ind w:firstLine="77"/>
              <w:jc w:val="center"/>
              <w:rPr>
                <w:bCs/>
                <w:sz w:val="24"/>
                <w:szCs w:val="24"/>
              </w:rPr>
            </w:pPr>
            <w:r>
              <w:rPr>
                <w:bCs/>
                <w:sz w:val="24"/>
                <w:szCs w:val="24"/>
              </w:rPr>
              <w:t>7</w:t>
            </w:r>
          </w:p>
        </w:tc>
      </w:tr>
      <w:tr>
        <w:trPr/>
        <w:tc>
          <w:tcPr>
            <w:tcW w:w="8570" w:type="dxa"/>
            <w:tcBorders>
              <w:top w:val="single" w:sz="4" w:space="0" w:color="000000"/>
              <w:left w:val="single" w:sz="4" w:space="0" w:color="000000"/>
              <w:bottom w:val="single" w:sz="4" w:space="0" w:color="000000"/>
              <w:right w:val="single" w:sz="4" w:space="0" w:color="000000"/>
            </w:tcBorders>
          </w:tcPr>
          <w:p>
            <w:pPr>
              <w:pStyle w:val="14"/>
              <w:spacing w:lineRule="auto" w:line="360" w:before="0" w:after="0"/>
              <w:ind w:left="0" w:hanging="0"/>
              <w:contextualSpacing/>
              <w:rPr>
                <w:rFonts w:ascii="Times New Roman" w:hAnsi="Times New Roman" w:cs="Times New Roman"/>
                <w:bCs/>
                <w:color w:val="FF0000"/>
                <w:sz w:val="24"/>
                <w:szCs w:val="24"/>
                <w:lang w:val="en-US" w:eastAsia="en-US"/>
              </w:rPr>
            </w:pPr>
            <w:r>
              <w:rPr>
                <w:rFonts w:cs="Times New Roman" w:ascii="Times New Roman" w:hAnsi="Times New Roman"/>
                <w:bCs/>
                <w:sz w:val="24"/>
                <w:szCs w:val="24"/>
                <w:lang w:val="en-US" w:eastAsia="en-US"/>
              </w:rPr>
              <w:t>2. Образовательная программа дополнительного образования (курсы повышения квалификации) «Проектирование педагогических условий для преодоления синдрома дефицита внимания и гиперактивности обучающихся в образовательном процессе».</w:t>
            </w:r>
          </w:p>
        </w:tc>
        <w:tc>
          <w:tcPr>
            <w:tcW w:w="1187" w:type="dxa"/>
            <w:tcBorders>
              <w:top w:val="single" w:sz="4" w:space="0" w:color="000000"/>
              <w:left w:val="single" w:sz="4" w:space="0" w:color="000000"/>
              <w:bottom w:val="single" w:sz="4" w:space="0" w:color="000000"/>
              <w:right w:val="single" w:sz="4" w:space="0" w:color="000000"/>
            </w:tcBorders>
          </w:tcPr>
          <w:p>
            <w:pPr>
              <w:pStyle w:val="Normal"/>
              <w:spacing w:lineRule="auto" w:line="360"/>
              <w:ind w:firstLine="77"/>
              <w:jc w:val="center"/>
              <w:rPr>
                <w:bCs/>
                <w:sz w:val="24"/>
                <w:szCs w:val="24"/>
              </w:rPr>
            </w:pPr>
            <w:r>
              <w:rPr>
                <w:bCs/>
                <w:sz w:val="24"/>
                <w:szCs w:val="24"/>
              </w:rPr>
              <w:t>14</w:t>
            </w:r>
          </w:p>
        </w:tc>
      </w:tr>
      <w:tr>
        <w:trPr/>
        <w:tc>
          <w:tcPr>
            <w:tcW w:w="8570" w:type="dxa"/>
            <w:tcBorders>
              <w:top w:val="single" w:sz="4" w:space="0" w:color="000000"/>
              <w:left w:val="single" w:sz="4" w:space="0" w:color="000000"/>
              <w:bottom w:val="single" w:sz="4" w:space="0" w:color="000000"/>
              <w:right w:val="single" w:sz="4" w:space="0" w:color="000000"/>
            </w:tcBorders>
          </w:tcPr>
          <w:p>
            <w:pPr>
              <w:pStyle w:val="14"/>
              <w:spacing w:lineRule="auto" w:line="360" w:before="0" w:after="0"/>
              <w:ind w:left="0" w:hanging="0"/>
              <w:contextualSpacing/>
              <w:rPr>
                <w:rFonts w:ascii="Times New Roman" w:hAnsi="Times New Roman" w:cs="Times New Roman"/>
                <w:bCs/>
                <w:sz w:val="24"/>
                <w:szCs w:val="24"/>
                <w:lang w:val="en-US" w:eastAsia="en-US"/>
              </w:rPr>
            </w:pPr>
            <w:bookmarkStart w:id="0" w:name="_Hlk60998971"/>
            <w:r>
              <w:rPr>
                <w:rFonts w:cs="Times New Roman" w:ascii="Times New Roman" w:hAnsi="Times New Roman"/>
                <w:bCs/>
                <w:sz w:val="24"/>
                <w:szCs w:val="24"/>
              </w:rPr>
              <w:t>3. Балинтовская группа как условие совершенствования профессиональной компетенции педагогов</w:t>
            </w:r>
            <w:bookmarkEnd w:id="0"/>
            <w:r>
              <w:rPr>
                <w:rFonts w:cs="Times New Roman" w:ascii="Times New Roman" w:hAnsi="Times New Roman"/>
                <w:bCs/>
                <w:sz w:val="24"/>
                <w:szCs w:val="24"/>
              </w:rPr>
              <w:t xml:space="preserve"> в сфере преодоления СДВГ у обучающихся в образовательном процессе</w:t>
            </w:r>
          </w:p>
        </w:tc>
        <w:tc>
          <w:tcPr>
            <w:tcW w:w="1187" w:type="dxa"/>
            <w:tcBorders>
              <w:top w:val="single" w:sz="4" w:space="0" w:color="000000"/>
              <w:left w:val="single" w:sz="4" w:space="0" w:color="000000"/>
              <w:bottom w:val="single" w:sz="4" w:space="0" w:color="000000"/>
              <w:right w:val="single" w:sz="4" w:space="0" w:color="000000"/>
            </w:tcBorders>
          </w:tcPr>
          <w:p>
            <w:pPr>
              <w:pStyle w:val="Normal"/>
              <w:spacing w:lineRule="auto" w:line="360"/>
              <w:ind w:firstLine="77"/>
              <w:jc w:val="center"/>
              <w:rPr>
                <w:bCs/>
                <w:sz w:val="24"/>
                <w:szCs w:val="24"/>
              </w:rPr>
            </w:pPr>
            <w:r>
              <w:rPr>
                <w:bCs/>
                <w:sz w:val="24"/>
                <w:szCs w:val="24"/>
              </w:rPr>
              <w:t>44</w:t>
            </w:r>
          </w:p>
        </w:tc>
      </w:tr>
      <w:tr>
        <w:trPr/>
        <w:tc>
          <w:tcPr>
            <w:tcW w:w="8570" w:type="dxa"/>
            <w:tcBorders>
              <w:top w:val="single" w:sz="4" w:space="0" w:color="000000"/>
              <w:left w:val="single" w:sz="4" w:space="0" w:color="000000"/>
              <w:bottom w:val="single" w:sz="4" w:space="0" w:color="000000"/>
              <w:right w:val="single" w:sz="4" w:space="0" w:color="000000"/>
            </w:tcBorders>
          </w:tcPr>
          <w:p>
            <w:pPr>
              <w:pStyle w:val="ListParagraph"/>
              <w:tabs>
                <w:tab w:val="clear" w:pos="708"/>
                <w:tab w:val="left" w:pos="993" w:leader="none"/>
              </w:tabs>
              <w:spacing w:lineRule="auto" w:line="360" w:before="0" w:after="0"/>
              <w:ind w:left="0" w:hanging="0"/>
              <w:contextualSpacing/>
              <w:jc w:val="both"/>
              <w:rPr>
                <w:rFonts w:ascii="Times New Roman" w:hAnsi="Times New Roman" w:cs="Times New Roman"/>
                <w:bCs/>
                <w:sz w:val="24"/>
                <w:szCs w:val="24"/>
                <w:lang w:eastAsia="ru-RU"/>
              </w:rPr>
            </w:pPr>
            <w:r>
              <w:rPr>
                <w:rFonts w:cs="Times New Roman" w:ascii="Times New Roman" w:hAnsi="Times New Roman"/>
                <w:bCs/>
                <w:sz w:val="24"/>
                <w:szCs w:val="24"/>
                <w:lang w:eastAsia="ru-RU"/>
              </w:rPr>
              <w:t>4.Электронный информационно-методический ресурс – сайт «Навигатор», как инструмент дистанционной поддержки педагогов и родителей детей с СДВГ</w:t>
            </w:r>
          </w:p>
          <w:p>
            <w:pPr>
              <w:pStyle w:val="14"/>
              <w:spacing w:lineRule="auto" w:line="360" w:before="0" w:after="0"/>
              <w:ind w:left="0" w:hanging="0"/>
              <w:contextualSpacing/>
              <w:rPr>
                <w:rFonts w:ascii="Times New Roman" w:hAnsi="Times New Roman" w:cs="Times New Roman"/>
                <w:bCs/>
                <w:sz w:val="24"/>
                <w:szCs w:val="24"/>
                <w:lang w:eastAsia="ru-RU"/>
              </w:rPr>
            </w:pPr>
            <w:r>
              <w:rPr>
                <w:rFonts w:cs="Times New Roman" w:ascii="Times New Roman" w:hAnsi="Times New Roman"/>
                <w:bCs/>
                <w:sz w:val="24"/>
                <w:szCs w:val="24"/>
                <w:lang w:eastAsia="ru-RU"/>
              </w:rPr>
            </w:r>
          </w:p>
        </w:tc>
        <w:tc>
          <w:tcPr>
            <w:tcW w:w="1187" w:type="dxa"/>
            <w:tcBorders>
              <w:top w:val="single" w:sz="4" w:space="0" w:color="000000"/>
              <w:left w:val="single" w:sz="4" w:space="0" w:color="000000"/>
              <w:bottom w:val="single" w:sz="4" w:space="0" w:color="000000"/>
              <w:right w:val="single" w:sz="4" w:space="0" w:color="000000"/>
            </w:tcBorders>
          </w:tcPr>
          <w:p>
            <w:pPr>
              <w:pStyle w:val="Normal"/>
              <w:spacing w:lineRule="auto" w:line="360"/>
              <w:ind w:firstLine="77"/>
              <w:jc w:val="center"/>
              <w:rPr>
                <w:bCs/>
                <w:sz w:val="24"/>
                <w:szCs w:val="24"/>
              </w:rPr>
            </w:pPr>
            <w:r>
              <w:rPr>
                <w:bCs/>
                <w:sz w:val="24"/>
                <w:szCs w:val="24"/>
              </w:rPr>
              <w:t>51</w:t>
            </w:r>
          </w:p>
        </w:tc>
      </w:tr>
      <w:tr>
        <w:trPr/>
        <w:tc>
          <w:tcPr>
            <w:tcW w:w="8570" w:type="dxa"/>
            <w:tcBorders>
              <w:top w:val="single" w:sz="4" w:space="0" w:color="000000"/>
              <w:left w:val="single" w:sz="4" w:space="0" w:color="000000"/>
              <w:bottom w:val="single" w:sz="4" w:space="0" w:color="000000"/>
              <w:right w:val="single" w:sz="4" w:space="0" w:color="000000"/>
            </w:tcBorders>
            <w:vAlign w:val="bottom"/>
          </w:tcPr>
          <w:p>
            <w:pPr>
              <w:pStyle w:val="14"/>
              <w:spacing w:lineRule="auto" w:line="360" w:before="0" w:after="200"/>
              <w:ind w:left="0" w:hanging="0"/>
              <w:contextualSpacing/>
              <w:rPr>
                <w:rFonts w:ascii="Times New Roman" w:hAnsi="Times New Roman" w:cs="Times New Roman"/>
                <w:b/>
                <w:b/>
                <w:sz w:val="24"/>
                <w:szCs w:val="24"/>
              </w:rPr>
            </w:pPr>
            <w:r>
              <w:rPr>
                <w:rFonts w:cs="Times New Roman" w:ascii="Times New Roman" w:hAnsi="Times New Roman"/>
                <w:sz w:val="24"/>
                <w:szCs w:val="24"/>
              </w:rPr>
              <w:t>Список литературы</w:t>
            </w:r>
          </w:p>
        </w:tc>
        <w:tc>
          <w:tcPr>
            <w:tcW w:w="1187" w:type="dxa"/>
            <w:tcBorders>
              <w:top w:val="single" w:sz="4" w:space="0" w:color="000000"/>
              <w:left w:val="single" w:sz="4" w:space="0" w:color="000000"/>
              <w:bottom w:val="single" w:sz="4" w:space="0" w:color="000000"/>
              <w:right w:val="single" w:sz="4" w:space="0" w:color="000000"/>
            </w:tcBorders>
          </w:tcPr>
          <w:p>
            <w:pPr>
              <w:pStyle w:val="Normal"/>
              <w:spacing w:lineRule="auto" w:line="360"/>
              <w:ind w:firstLine="77"/>
              <w:jc w:val="center"/>
              <w:rPr>
                <w:sz w:val="24"/>
                <w:szCs w:val="24"/>
              </w:rPr>
            </w:pPr>
            <w:r>
              <w:rPr>
                <w:sz w:val="24"/>
                <w:szCs w:val="24"/>
              </w:rPr>
              <w:t>58</w:t>
            </w:r>
          </w:p>
        </w:tc>
      </w:tr>
      <w:tr>
        <w:trPr/>
        <w:tc>
          <w:tcPr>
            <w:tcW w:w="857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tabs>
                <w:tab w:val="clear" w:pos="708"/>
                <w:tab w:val="left" w:pos="408" w:leader="none"/>
              </w:tabs>
              <w:autoSpaceDE w:val="false"/>
              <w:spacing w:lineRule="auto" w:line="360"/>
              <w:rPr>
                <w:sz w:val="24"/>
                <w:szCs w:val="24"/>
              </w:rPr>
            </w:pPr>
            <w:bookmarkStart w:id="1" w:name="_Hlk60664294"/>
            <w:bookmarkEnd w:id="1"/>
            <w:r>
              <w:rPr>
                <w:sz w:val="24"/>
                <w:szCs w:val="24"/>
              </w:rPr>
              <w:t xml:space="preserve">Приложения </w:t>
            </w:r>
          </w:p>
        </w:tc>
        <w:tc>
          <w:tcPr>
            <w:tcW w:w="1187" w:type="dxa"/>
            <w:tcBorders>
              <w:top w:val="single" w:sz="4" w:space="0" w:color="000000"/>
              <w:left w:val="single" w:sz="4" w:space="0" w:color="000000"/>
              <w:bottom w:val="single" w:sz="4" w:space="0" w:color="000000"/>
              <w:right w:val="single" w:sz="4" w:space="0" w:color="000000"/>
            </w:tcBorders>
          </w:tcPr>
          <w:p>
            <w:pPr>
              <w:pStyle w:val="Normal"/>
              <w:spacing w:lineRule="auto" w:line="360"/>
              <w:ind w:firstLine="77"/>
              <w:jc w:val="center"/>
              <w:rPr>
                <w:sz w:val="24"/>
                <w:szCs w:val="24"/>
              </w:rPr>
            </w:pPr>
            <w:r>
              <w:rPr>
                <w:sz w:val="24"/>
                <w:szCs w:val="24"/>
              </w:rPr>
              <w:t>61</w:t>
            </w:r>
          </w:p>
        </w:tc>
      </w:tr>
    </w:tbl>
    <w:p>
      <w:pPr>
        <w:pStyle w:val="Normal"/>
        <w:spacing w:lineRule="auto" w:line="360"/>
        <w:ind w:firstLine="567"/>
        <w:jc w:val="center"/>
        <w:rPr>
          <w:b/>
          <w:b/>
          <w:sz w:val="24"/>
          <w:szCs w:val="24"/>
        </w:rPr>
      </w:pPr>
      <w:r>
        <w:rPr>
          <w:b/>
          <w:sz w:val="24"/>
          <w:szCs w:val="24"/>
        </w:rPr>
      </w:r>
    </w:p>
    <w:p>
      <w:pPr>
        <w:pStyle w:val="Normal"/>
        <w:spacing w:lineRule="auto" w:line="360"/>
        <w:ind w:firstLine="567"/>
        <w:jc w:val="both"/>
        <w:rPr>
          <w:b/>
          <w:b/>
          <w:sz w:val="24"/>
          <w:szCs w:val="24"/>
        </w:rPr>
      </w:pPr>
      <w:r>
        <w:rPr>
          <w:b/>
          <w:sz w:val="24"/>
          <w:szCs w:val="24"/>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color w:val="FF0000"/>
          <w:sz w:val="24"/>
          <w:szCs w:val="24"/>
          <w:highlight w:val="yellow"/>
        </w:rPr>
      </w:pPr>
      <w:r>
        <w:rPr>
          <w:b/>
          <w:color w:val="FF0000"/>
          <w:sz w:val="24"/>
          <w:szCs w:val="24"/>
          <w:highlight w:val="yellow"/>
        </w:rPr>
      </w:r>
    </w:p>
    <w:p>
      <w:pPr>
        <w:pStyle w:val="Normal"/>
        <w:spacing w:lineRule="auto" w:line="360"/>
        <w:ind w:right="74" w:hanging="0"/>
        <w:jc w:val="both"/>
        <w:rPr>
          <w:b/>
          <w:b/>
          <w:color w:val="FF0000"/>
          <w:sz w:val="24"/>
          <w:szCs w:val="24"/>
          <w:highlight w:val="yellow"/>
        </w:rPr>
      </w:pPr>
      <w:r>
        <w:rPr>
          <w:b/>
          <w:color w:val="FF0000"/>
          <w:sz w:val="24"/>
          <w:szCs w:val="24"/>
          <w:highlight w:val="yellow"/>
        </w:rPr>
      </w:r>
    </w:p>
    <w:p>
      <w:pPr>
        <w:pStyle w:val="Normal"/>
        <w:spacing w:lineRule="auto" w:line="360"/>
        <w:ind w:right="74" w:firstLine="539"/>
        <w:jc w:val="both"/>
        <w:rPr>
          <w:b/>
          <w:b/>
          <w:sz w:val="28"/>
          <w:szCs w:val="28"/>
        </w:rPr>
      </w:pPr>
      <w:r>
        <w:rPr>
          <w:b/>
          <w:sz w:val="28"/>
          <w:szCs w:val="28"/>
        </w:rPr>
        <w:t>Введение</w:t>
      </w:r>
    </w:p>
    <w:p>
      <w:pPr>
        <w:pStyle w:val="Normal"/>
        <w:spacing w:lineRule="auto" w:line="360"/>
        <w:ind w:right="74" w:firstLine="539"/>
        <w:jc w:val="both"/>
        <w:rPr>
          <w:b/>
          <w:b/>
          <w:sz w:val="28"/>
          <w:szCs w:val="28"/>
        </w:rPr>
      </w:pPr>
      <w:r>
        <w:rPr>
          <w:b/>
          <w:sz w:val="28"/>
          <w:szCs w:val="28"/>
        </w:rPr>
      </w:r>
    </w:p>
    <w:p>
      <w:pPr>
        <w:pStyle w:val="Normal"/>
        <w:spacing w:lineRule="auto" w:line="360"/>
        <w:ind w:right="74" w:firstLine="539"/>
        <w:jc w:val="both"/>
        <w:rPr/>
      </w:pPr>
      <w:r>
        <w:rPr>
          <w:bCs/>
          <w:sz w:val="24"/>
          <w:szCs w:val="24"/>
        </w:rPr>
        <w:t xml:space="preserve">Профессиональная компетентность педагога является важнейшим ресурсом обеспечения </w:t>
      </w:r>
      <w:r>
        <w:rPr>
          <w:bCs/>
          <w:sz w:val="24"/>
        </w:rPr>
        <w:t>безопасных здоровьесозидающих условий</w:t>
      </w:r>
      <w:r>
        <w:rPr>
          <w:bCs/>
          <w:sz w:val="24"/>
          <w:szCs w:val="24"/>
        </w:rPr>
        <w:t xml:space="preserve"> организации и осуществления образовательного процесса для преодоления синдрома дефицита внимания и гиперактивности обучающихся, развития и компенсации дефицитарных функций, связанных с симптомом.</w:t>
      </w:r>
    </w:p>
    <w:p>
      <w:pPr>
        <w:pStyle w:val="Normal"/>
        <w:spacing w:lineRule="auto" w:line="360"/>
        <w:ind w:right="76" w:firstLine="540"/>
        <w:jc w:val="both"/>
        <w:rPr>
          <w:sz w:val="24"/>
          <w:szCs w:val="24"/>
        </w:rPr>
      </w:pPr>
      <w:r>
        <w:rPr>
          <w:sz w:val="24"/>
          <w:szCs w:val="24"/>
        </w:rPr>
        <w:t>Одна из важных граней профессиональной компетентности современного педагога в условиях реализации Федерального проекта «Успех каждого ребенка» Национального проекта «Образование» — это оказание помощи и поддержки в самореализации детям с особыми образовательными потребностями. [15] Одной из новых приоритетных задач педагога становится при этом помочь ребёнку с особыми образовательными потребностями на основе игровой и рефлексивной деятельности осознать свои возможности, перспективные траектории своих успехов и достижений, научить обучающихся с СДВГ прогнозировать возможные положительные и отрицательные последствия различных вариантов своего поведения, получить на этой основе опыт эффективного поведения в различных учебных и бытовых ситуациях в школе и дома.</w:t>
      </w:r>
    </w:p>
    <w:p>
      <w:pPr>
        <w:pStyle w:val="Normal"/>
        <w:tabs>
          <w:tab w:val="clear" w:pos="708"/>
          <w:tab w:val="left" w:pos="720" w:leader="none"/>
        </w:tabs>
        <w:spacing w:lineRule="auto" w:line="357"/>
        <w:ind w:right="76" w:firstLine="540"/>
        <w:jc w:val="both"/>
        <w:rPr>
          <w:sz w:val="24"/>
          <w:szCs w:val="24"/>
        </w:rPr>
      </w:pPr>
      <w:r>
        <w:rPr>
          <w:sz w:val="24"/>
          <w:szCs w:val="24"/>
        </w:rPr>
        <w:t xml:space="preserve">Профессиональный стандарт «Педагог» [17] в качестве обязательной для всех категорий педагогов определяет во многом новую для учителей трудовую функцию «развивающая деятельность» (п. 3.1.3) и, соответсвенно, сравнительно новые для большинства педагогов общеобразовательных школ трудовые действия. Среди этих трудовых действий: выявление в ходе наблюдения поведенческих и личностных проблем обучающихся, связанных с особенностями их развития;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 применение инструментария и методов диагностики и оценки показателей уровня и динамики развития ребёнка; 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одарённые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 СДВГ и др.), дети с ограниченными возможностями здоровья, дети с девиациями поведения, дети с зависимостью. Актуальность приобретают задачи оказания адресной помощи этим группам обучающихся; взаимодействие для этого с другими специалистами в рамках психолого-медико-педагогического консилиума; разработка (совместно с другими специалистами) и реализация совместно с родителями (законными представителями) программ индивидуального развития ребёнка; освоение и адекватное применение специальных технологий и методов, позволяющих проводить коррекционно-развивающую работу;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формирование системы регуляции поведения и деятельности обучающихся. </w:t>
      </w:r>
    </w:p>
    <w:p>
      <w:pPr>
        <w:pStyle w:val="Normal"/>
        <w:tabs>
          <w:tab w:val="clear" w:pos="708"/>
          <w:tab w:val="left" w:pos="720" w:leader="none"/>
        </w:tabs>
        <w:spacing w:lineRule="auto" w:line="357"/>
        <w:ind w:right="76" w:firstLine="540"/>
        <w:jc w:val="both"/>
        <w:rPr>
          <w:sz w:val="24"/>
          <w:szCs w:val="24"/>
        </w:rPr>
      </w:pPr>
      <w:r>
        <w:rPr>
          <w:sz w:val="24"/>
          <w:szCs w:val="24"/>
        </w:rPr>
        <w:t xml:space="preserve">Таким образом, профессиональная деятельность, направленная на формирование системы регуляции поведения (в том числе, регуляцию эмоциональных состояний) и деятельности обучающихся становится «базовой» функцией в деятельности не только педагогов-психологов, как это было ранее, но и других категорий педагогов и воспитателей. Это означает, в свою очередь, то, что педагогам предстоит овладевать новыми для них умениями для проведения работы с различными категориями обучающихся, в том числе умением реализовывать интерактивные технологии, тренинги, направленные на содействие обучающимся в отреагировании и саморегуляции негативных эмоциональных состояний. Актуальность овладения новыми для значительной части педагогов профессиональными умениями несомненна − с каждым годом, что подтверждается современными статистическими данными, к сожалению, увеличивается число детей со всевозможными нарушениями в развитии эмоциональной сферы, характеристик здоровья в целом. </w:t>
      </w:r>
    </w:p>
    <w:p>
      <w:pPr>
        <w:pStyle w:val="Normal"/>
        <w:tabs>
          <w:tab w:val="clear" w:pos="708"/>
          <w:tab w:val="left" w:pos="720" w:leader="none"/>
        </w:tabs>
        <w:spacing w:lineRule="auto" w:line="357"/>
        <w:ind w:right="76" w:firstLine="540"/>
        <w:jc w:val="both"/>
        <w:rPr/>
      </w:pPr>
      <w:r>
        <w:rPr>
          <w:sz w:val="24"/>
          <w:szCs w:val="24"/>
        </w:rPr>
        <w:t>Среди множества проблем, находящихся на стыке клинических</w:t>
      </w:r>
      <w:r>
        <w:rPr>
          <w:b/>
          <w:bCs/>
          <w:sz w:val="24"/>
          <w:szCs w:val="24"/>
        </w:rPr>
        <w:t xml:space="preserve"> </w:t>
      </w:r>
      <w:r>
        <w:rPr>
          <w:sz w:val="24"/>
          <w:szCs w:val="24"/>
        </w:rPr>
        <w:t xml:space="preserve">дисциплин, педагогической психологии, специальной психологии и педагогики, проблема СДВГ занимает одно из основных мест. Проблема эта актуальна, так как все большему числу детей уже в дошкольном возрасте ставится диагноз «гиперактивность», «синдром нарушения внимания с гиперактивностью», что ставит таких детей в разряд детей с особыми образовательными потребностями. Игнорирование данной проблемы педагогическим сообществом в образовательном процессе или соответствующие профессиональные дефициты учителей приводят к трудностям в обучении и поведении детей с СДВГ. </w:t>
      </w:r>
    </w:p>
    <w:p>
      <w:pPr>
        <w:pStyle w:val="Normal"/>
        <w:spacing w:lineRule="auto" w:line="360"/>
        <w:ind w:firstLine="540"/>
        <w:jc w:val="both"/>
        <w:rPr>
          <w:sz w:val="24"/>
          <w:szCs w:val="24"/>
        </w:rPr>
      </w:pPr>
      <w:r>
        <w:rPr>
          <w:sz w:val="24"/>
          <w:szCs w:val="24"/>
        </w:rPr>
        <w:t>В основе деятельности региональной инновационной площадки ГБУ ДО ЦППМСП Выборгского района Санкт-Петербурга по теме «Совершенствование условий организации и осуществления образовательного процесса для преодоления синдрома дефицита внимания и гиперактивности у обучающихся» лежит создание комплексной системной модели совершенствования условий организации и осуществления образовательного процесса для преодоления синдрома дефицита внимания и гиперактивности обучающихся 1-7 классов общеобразовательных школ посредством определения оптимальных организационно-педагогических условий образовательного процесса.</w:t>
      </w:r>
      <w:r>
        <w:rPr/>
        <w:t xml:space="preserve"> [9] </w:t>
      </w:r>
      <w:r>
        <w:rPr>
          <w:sz w:val="24"/>
          <w:szCs w:val="24"/>
        </w:rPr>
        <w:t>Проведенные в рамках ОЭР исследования особенностей дефицитарных функций, эмоционально-волевых, личностных, поведенческих характеристик и межличностных отношений обучающихся, имеющих, по оценкам педагогов, симптомы СДВГ, показали прямую зависимость тревоги и конфликтности детей с СДВГ с особенностями организации их деятельности, в том числе, образовательной, влиянием семьи, враждебностью к взрослым в результате их неготовности к взаимодействию с этими детьми, и уходом в себя.</w:t>
      </w:r>
      <w:r>
        <w:rPr/>
        <w:t xml:space="preserve"> [1] </w:t>
      </w:r>
    </w:p>
    <w:p>
      <w:pPr>
        <w:pStyle w:val="Normal"/>
        <w:tabs>
          <w:tab w:val="clear" w:pos="708"/>
          <w:tab w:val="left" w:pos="720" w:leader="none"/>
        </w:tabs>
        <w:spacing w:lineRule="auto" w:line="357"/>
        <w:ind w:right="76" w:firstLine="540"/>
        <w:jc w:val="both"/>
        <w:rPr>
          <w:sz w:val="24"/>
          <w:szCs w:val="24"/>
        </w:rPr>
      </w:pPr>
      <w:r>
        <w:rPr>
          <w:sz w:val="24"/>
          <w:szCs w:val="24"/>
        </w:rPr>
        <w:t xml:space="preserve">Обращает на себя внимание то, что в 50% случаев педагоги, не получающие поддержки в восполнении профессиональных дефицитов в сфере педагогического взаимодействия с детьми с СДВГ, оценивают этих детей, как в значительной степени невнимательных, неспособных к сосредоточению на длительный срок, беспокойных, легко примиряющихся с неудачами в различных видах трудовой деятельности. Как известно, социальная среда может негативно влиять на процесс социализации, развития и воспитания детей, следствием чего становится появление у них стойких трудностей в обучении, поведении, общении. Таким образом, статистически достоверным является факт, что совершенствование условий образовательного процесса будет положительно влиять на преодоление СДВГ у обучающихся, их активность, инициативность, качество общения с взрослыми и сверстниками. </w:t>
      </w:r>
    </w:p>
    <w:p>
      <w:pPr>
        <w:pStyle w:val="Normal"/>
        <w:tabs>
          <w:tab w:val="clear" w:pos="708"/>
          <w:tab w:val="left" w:pos="720" w:leader="none"/>
        </w:tabs>
        <w:spacing w:lineRule="auto" w:line="357"/>
        <w:ind w:right="76" w:firstLine="540"/>
        <w:jc w:val="both"/>
        <w:rPr>
          <w:rFonts w:eastAsia="Calibri"/>
          <w:sz w:val="24"/>
          <w:szCs w:val="24"/>
          <w:lang w:eastAsia="en-US"/>
        </w:rPr>
      </w:pPr>
      <w:r>
        <w:rPr>
          <w:sz w:val="24"/>
          <w:szCs w:val="24"/>
        </w:rPr>
        <w:t xml:space="preserve">Одной из ключевых фигур в </w:t>
      </w:r>
      <w:r>
        <w:rPr/>
        <w:t xml:space="preserve">создании психологически и педагогически безопасных условий образовательного процесса с учетом психофизиологических особенностей, индивидуального темпа деятельности обучающихся с СДВГ безусловно </w:t>
      </w:r>
      <w:r>
        <w:rPr>
          <w:sz w:val="24"/>
          <w:szCs w:val="24"/>
        </w:rPr>
        <w:t>является личность педагога. С</w:t>
      </w:r>
      <w:r>
        <w:rPr>
          <w:rFonts w:eastAsia="Calibri"/>
          <w:sz w:val="24"/>
          <w:szCs w:val="24"/>
          <w:lang w:eastAsia="en-US"/>
        </w:rPr>
        <w:t>обственное ценностное самоопределение педагога относительно возможности принятия, поддержки детей с СДВГ в образовательном процессе и внеурочной деятельности, регулярное повышение своей профессиональной компетентности в сфере воспитания и обучения данной категории детей является определяющим условием эффективности и достижения результатов в создании безопасных условий образовательного процесса для детей с СДВГ. В соответствии с современными научными данными, о том, что в среднем от 2 до 12 процентов таких детей обучается в каждом классе, широкой представленности этой группы обучающихся в современной школе возникает необходимость создания системы внутришкольного обучения педагогических работников, направленной на развитие и компенсацию у обучающихся с СДВГ дефицитарных функций, обусловленных симптомом. В данном методическом пособии рассмотрены возможности преодоления профессиональных дефицитов педагогов в данной сфере путем повышения квалификации по программам дополнительного образования (курсов повышения квалификации) «Проектирование педагогических условий для преодоления синдрома дефицита внимания и гиперактивности обучающихся в образовательном процессе»,</w:t>
      </w:r>
      <w:r>
        <w:rPr>
          <w:rFonts w:eastAsia="Calibri"/>
          <w:color w:val="FF0000"/>
          <w:sz w:val="24"/>
          <w:szCs w:val="24"/>
          <w:lang w:eastAsia="en-US"/>
        </w:rPr>
        <w:t xml:space="preserve"> </w:t>
      </w:r>
      <w:r>
        <w:rPr>
          <w:rFonts w:eastAsia="Calibri"/>
          <w:sz w:val="24"/>
          <w:szCs w:val="24"/>
          <w:lang w:eastAsia="en-US"/>
        </w:rPr>
        <w:t>групповой супервизии в рамках балинтовской группы «Перспектива», использования цифрового информационно-методического ресурса «Навигатор для педагогов и родителей детей с СДВГ» на сайте ГБУ ДО ЦППМСП,</w:t>
      </w:r>
      <w:r>
        <w:rPr>
          <w:rFonts w:eastAsia="Calibri"/>
          <w:color w:val="FF0000"/>
          <w:sz w:val="24"/>
          <w:szCs w:val="24"/>
          <w:lang w:eastAsia="en-US"/>
        </w:rPr>
        <w:t xml:space="preserve"> </w:t>
      </w:r>
      <w:r>
        <w:rPr>
          <w:rFonts w:eastAsia="Calibri"/>
          <w:sz w:val="24"/>
          <w:szCs w:val="24"/>
          <w:lang w:eastAsia="en-US"/>
        </w:rPr>
        <w:t xml:space="preserve">организации семинаров, мастер-классов, круглых столов для обмена опытом в сфере воспитания и обучения детей с СДВГ, участия в научно-практических конференциях, обеспечения научно-методической поддержки профессиональных педагогических сообществ. </w:t>
      </w:r>
    </w:p>
    <w:p>
      <w:pPr>
        <w:pStyle w:val="Normal"/>
        <w:spacing w:lineRule="auto" w:line="360"/>
        <w:ind w:firstLine="567"/>
        <w:jc w:val="both"/>
        <w:rPr>
          <w:rFonts w:eastAsia="Calibri"/>
          <w:sz w:val="24"/>
          <w:szCs w:val="24"/>
          <w:lang w:eastAsia="en-US"/>
        </w:rPr>
      </w:pPr>
      <w:r>
        <w:rPr>
          <w:rFonts w:eastAsia="Calibri"/>
          <w:sz w:val="24"/>
          <w:szCs w:val="24"/>
          <w:lang w:eastAsia="en-US"/>
        </w:rPr>
      </w:r>
    </w:p>
    <w:p>
      <w:pPr>
        <w:pStyle w:val="Normal"/>
        <w:numPr>
          <w:ilvl w:val="0"/>
          <w:numId w:val="23"/>
        </w:numPr>
        <w:spacing w:lineRule="auto" w:line="360"/>
        <w:jc w:val="both"/>
        <w:rPr>
          <w:sz w:val="28"/>
          <w:szCs w:val="28"/>
        </w:rPr>
      </w:pPr>
      <w:r>
        <w:rPr>
          <w:sz w:val="28"/>
          <w:szCs w:val="28"/>
        </w:rPr>
        <w:t xml:space="preserve"> </w:t>
      </w:r>
      <w:r>
        <w:rPr>
          <w:b/>
          <w:sz w:val="28"/>
          <w:szCs w:val="28"/>
        </w:rPr>
        <w:t xml:space="preserve">Профессиональная компетентность педагога как условие преодоления </w:t>
      </w:r>
      <w:bookmarkStart w:id="2" w:name="_Hlk60999048"/>
      <w:r>
        <w:rPr>
          <w:b/>
          <w:sz w:val="28"/>
          <w:szCs w:val="28"/>
        </w:rPr>
        <w:t>СДВГ у обучающихся в образовательном процессе</w:t>
      </w:r>
    </w:p>
    <w:p>
      <w:pPr>
        <w:pStyle w:val="Normal"/>
        <w:tabs>
          <w:tab w:val="clear" w:pos="708"/>
          <w:tab w:val="left" w:pos="720" w:leader="none"/>
        </w:tabs>
        <w:spacing w:lineRule="auto" w:line="357"/>
        <w:ind w:right="76" w:firstLine="540"/>
        <w:jc w:val="both"/>
        <w:rPr>
          <w:sz w:val="24"/>
          <w:szCs w:val="28"/>
        </w:rPr>
      </w:pPr>
      <w:r>
        <w:rPr>
          <w:sz w:val="24"/>
          <w:szCs w:val="28"/>
        </w:rPr>
      </w:r>
      <w:bookmarkEnd w:id="2"/>
    </w:p>
    <w:p>
      <w:pPr>
        <w:pStyle w:val="Normal"/>
        <w:tabs>
          <w:tab w:val="clear" w:pos="708"/>
          <w:tab w:val="left" w:pos="720" w:leader="none"/>
        </w:tabs>
        <w:spacing w:lineRule="auto" w:line="357"/>
        <w:ind w:right="76" w:firstLine="540"/>
        <w:jc w:val="both"/>
        <w:rPr>
          <w:sz w:val="24"/>
        </w:rPr>
      </w:pPr>
      <w:r>
        <w:rPr>
          <w:sz w:val="24"/>
        </w:rPr>
        <w:t xml:space="preserve">Интенсивные перемены социума, модернизация всех сфер современного общества значительно актуализировали задачи, связанные с развитием профессиональных компетенций педагогов образовательных организаций. </w:t>
      </w:r>
    </w:p>
    <w:p>
      <w:pPr>
        <w:pStyle w:val="Normal"/>
        <w:tabs>
          <w:tab w:val="clear" w:pos="708"/>
          <w:tab w:val="left" w:pos="720" w:leader="none"/>
        </w:tabs>
        <w:spacing w:lineRule="auto" w:line="357"/>
        <w:ind w:right="76" w:firstLine="540"/>
        <w:jc w:val="both"/>
        <w:rPr>
          <w:sz w:val="24"/>
        </w:rPr>
      </w:pPr>
      <w:r>
        <w:rPr>
          <w:sz w:val="24"/>
        </w:rPr>
        <w:t>По данным проведенного региональной инновационной площадки ГБУ ДО ЦППМСП Выборгского района Санкт-Петербурга (2018-2010 г.г.) исследования, к настоящему времени главенствующее место в работе с детьми с СДВГ как в нашей стране, так и за рубежом занимают медицинские работники и психологи (Р.Ф. Баркли, К.М. Бентон, И.П. Брязгунова, Н.Н. Заваденко, А.Л. Сиротюк, Л.С. Чутко и др.). [2]</w:t>
      </w:r>
    </w:p>
    <w:p>
      <w:pPr>
        <w:pStyle w:val="Normal"/>
        <w:tabs>
          <w:tab w:val="clear" w:pos="708"/>
          <w:tab w:val="left" w:pos="720" w:leader="none"/>
        </w:tabs>
        <w:spacing w:lineRule="auto" w:line="357"/>
        <w:ind w:right="76" w:firstLine="540"/>
        <w:jc w:val="both"/>
        <w:rPr/>
      </w:pPr>
      <w:r>
        <w:rPr>
          <w:sz w:val="24"/>
        </w:rPr>
        <w:t>Однако частое игнорирование проявлений данного синдрома учителями, их недостаточная профессиональная компетентность в данной области имеют серьезные педагогические и медико-социальные последствия для детей с СДВГ, их семей, школы (в контексте образовательных результатов и процессов развития и социализации ребенка) и общества в целом. Опыт практической лечебно-коррекционной работы и результаты исследований, проводимых в лаборатории коррекции психического развития и адаптации Института мозга человека РАН, (Л.С. Чутко, Ю.Д. Кропотов, 2012г.) убедительно доказывают необходимость отдельного выделения педагогической составляющей в решении данной проблемы, преодолении разрыва между медицинским и педагогическим подходами в содействии решению проблем ребенка с СДВГ [28] Этот разрыв заключается в том, что существует медицинское обоснование феномена СДВГ и рекомендуемые медикаментозные методы лечения детей, но исключительно мало разработан педагогический инструментарий, направленный на оказание им помощи и поддержки в образовательном пространстве современной школы. Таким образом, в современной образовательной ситуации обозначились новые актуальные задачи создания соответствующих психолого-педагогических технологий, способствующих преодолению СДВГ у обучающихся. Для решения этих задач нами разработана технология совершенствования условий организации и осуществления образовательного процесса, способствующих преодолению СДВГ у обучающихся, компенсации дефицитарных функций, и активному, свободному и мотивированному включению этих обучающихся в образовательный процесс, которая опирается на понимание образовательного процесса, как целостной динамической системы, имеющей специфические процессуальные компоненты. Наиболее значимыми из них являются процессы обучения и воспитания, которые ведут к внутренним процессам изменения образованности, воспитанности и развитости личности. Системообразующим фактором, определяющим возможность эффективного взаимодействия субъектов образовательного процесса в рамках разработанной технологии, является успешность обучающихся с СДВГ в учебной, внеучебной и внеурочной деятельности, учитывая, что современный образовательный процесс понимается, как диалектически взаимосвязанная система обучения и учения, обеспечивающая развитие индивидуума как личности, опирающаяся на раскрытие и использование субъектного опыта каждого ученика посредством применения личностно значимых способов целенаправленной учебно-познавательной деятельности. [20] Современный взгляд на проблему СДВГ специалистов-нейрофизиологов заключается в том, что педагогическая составляющая проблемы поддержки детей с СДВГ выражается не столько в дефиците внимания, сколько в «дисфункции управления поведением». Таким образом, практическое решение данной проблемы средствами педагогики актуально и нуждается в серьезной проработке. [26]</w:t>
      </w:r>
    </w:p>
    <w:p>
      <w:pPr>
        <w:pStyle w:val="Normal"/>
        <w:tabs>
          <w:tab w:val="clear" w:pos="708"/>
          <w:tab w:val="left" w:pos="720" w:leader="none"/>
        </w:tabs>
        <w:spacing w:lineRule="auto" w:line="357"/>
        <w:ind w:right="76" w:firstLine="540"/>
        <w:jc w:val="both"/>
        <w:rPr>
          <w:sz w:val="24"/>
          <w:highlight w:val="yellow"/>
        </w:rPr>
      </w:pPr>
      <w:r>
        <w:rPr>
          <w:sz w:val="24"/>
        </w:rPr>
        <w:t xml:space="preserve">Наиболее эффективным способом реализации такой технологии является программно-целевой метод, позволяющий создать условия для индивидуализации обучения детей с СДВГ в образовательном процессе, учитывать индивидуальные особенности развития обучающихся, их дифференцированные образовательных запросы и потребности. В свою очередь, реализация таких дифференцированных целевых установок осуществляется в рамках спектра вариативных программ, в том числе, программ повышения квалификации для педагогов, обучения и просвещения родителей, коррекционно-развивающих индивидуально-ориентированных программ для обучающихся 1-7 классов с СДВГ. Успешность социального функционирования, адаптированность ребенка с СДВГ в большой степени определяются социальной средой, как внутришкольной, так и внутрисемейной, поэтому решающее значение для успешности процессов поддержки такого ребенка имеют педагогические и воспитательные стратeгии, либо компенсирующие, эффективные, либо, наоборот, провоцирующие появление нeжелательных симптомов. [26] </w:t>
      </w:r>
    </w:p>
    <w:p>
      <w:pPr>
        <w:pStyle w:val="Normal"/>
        <w:tabs>
          <w:tab w:val="clear" w:pos="708"/>
          <w:tab w:val="left" w:pos="720" w:leader="none"/>
        </w:tabs>
        <w:spacing w:lineRule="auto" w:line="357"/>
        <w:ind w:right="76" w:firstLine="540"/>
        <w:jc w:val="both"/>
        <w:rPr/>
      </w:pPr>
      <w:r>
        <w:rPr>
          <w:sz w:val="24"/>
        </w:rPr>
        <w:t xml:space="preserve">Решению проблемы компенсации симптомов СДВГ способствует выявление валеолого-педагогических условий, направленных на анализ объективных закономерностей, обеспечивающих поддержание и восстановление эффективной работоспособности (баланса) учащихся в специфических условиях образовательного процесса (В.Ф. Базарный, Л.Г. Татарникова, З.И. Тюмасева, И.Л. Орехова, Е.И. Ярославцева, и др.). Следует подчеркнуть, что авторы педагогических и психолого-педагогических исследований рассматривают гуманистическую образовательную среду, как фактор развития не только личности обучающегося, но и личности педагога (В.В. Рубцов, В.И. Слободчиков, В.А. Ясвин и др.). </w:t>
      </w:r>
    </w:p>
    <w:p>
      <w:pPr>
        <w:pStyle w:val="Normal"/>
        <w:tabs>
          <w:tab w:val="clear" w:pos="708"/>
          <w:tab w:val="left" w:pos="720" w:leader="none"/>
        </w:tabs>
        <w:spacing w:lineRule="auto" w:line="357"/>
        <w:ind w:right="76" w:firstLine="540"/>
        <w:jc w:val="both"/>
        <w:rPr/>
      </w:pPr>
      <w:r>
        <w:rPr>
          <w:sz w:val="24"/>
        </w:rPr>
        <w:t xml:space="preserve">В рамках научной школы доктора педагогических наук, доктора философии профессора Ларисы Гавриловны Татарниковой «Педагогическая валеология – креативная система безопасности и оздоровления педагогической реальности» была разработана модель валеолого-педагогического сопровождения, инициирующая готовность педагогов принять самобытные качества учащегося с СДВГ, как уникальность его естественного состояния, отражающего индивидуальную направленность развития в условиях педагогической реальности; введена новая дефиниция - валеологическое пространство человека. Валеологическое пространство человека рассматривается в рамках данной научной школы, как адекватная жизненным потребностям, безопасная для жизнедеятельности педагогическая реальность, позволяющая человеку (ребенку, взрослому) взаимодействовать с самим собой и с миром без ущерба для интеллектуального развития и индивидуального здоровья, а также эмоционального благополучия окружающих. В исследовании, проведенном О.А. Власовой (научный руководитель Татарникова Л.Г., 2015) обоснована модель валеолого-педагогического сопровождения учащихся с CДВГ в образовательном процессе. Авторами выделены следующие структурные компоненты модели: целеполагание, как расширение сферы профессиональных компетенций педагогов; психолого-педагогические основания валеолого-педагогического сопровождения (умение активизировать личностные, потенциально присутствующие, данные природой возможности; рефлексия своего опыта, самопознания и саморазвития) и системы валеологических принципов (принцип субъектной ориентированности «Не мир, а ребенок»; принцип прогнозируемой успешности «Успешность», «Воспитание достоинства»; принцип персонализации «Особенности, а не отличительность»; принцип осознания ответственности за свое здоровье); эффективность, которая определяется по критериям: развитие валеологической компетентности педагогов в области взаимодействия с детьми с СДВГ; овладение навыками саморегуляции, саморефлексии; овладение навыками моделирования взаимоотношений педагог - ребенок с СДВГ с применением здоровьесберегающих технологий. [5,22] </w:t>
      </w:r>
    </w:p>
    <w:p>
      <w:pPr>
        <w:pStyle w:val="Normal"/>
        <w:tabs>
          <w:tab w:val="clear" w:pos="708"/>
          <w:tab w:val="left" w:pos="720" w:leader="none"/>
        </w:tabs>
        <w:spacing w:lineRule="auto" w:line="357"/>
        <w:ind w:right="76" w:firstLine="540"/>
        <w:jc w:val="both"/>
        <w:rPr>
          <w:sz w:val="24"/>
        </w:rPr>
      </w:pPr>
      <w:r>
        <w:rPr>
          <w:sz w:val="24"/>
        </w:rPr>
        <w:t xml:space="preserve">Современные дети и подростки демонстрируют характеристики развития, объективно осложняющие процесс педагогического взаимодействия с ними. Наблюдающееся стремительное расслоение ранее единой и целостной модели социализации ребенка на новые, вариативные, стихийно формирующиеся в сетевом пространстве модели поведения и социализации ребенка, требуют от современных педагогов владения адресными технологиями помощи таким детям. </w:t>
      </w:r>
    </w:p>
    <w:p>
      <w:pPr>
        <w:pStyle w:val="Normal"/>
        <w:tabs>
          <w:tab w:val="clear" w:pos="708"/>
          <w:tab w:val="left" w:pos="720" w:leader="none"/>
        </w:tabs>
        <w:spacing w:lineRule="auto" w:line="357"/>
        <w:ind w:right="76" w:firstLine="540"/>
        <w:jc w:val="both"/>
        <w:rPr/>
      </w:pPr>
      <w:r>
        <w:rPr>
          <w:sz w:val="24"/>
        </w:rPr>
        <w:t xml:space="preserve">В основу деятельности региональной инновационной площадки ГБУ ДО ЦППМСП Выборгского района Санкт-Петербурга положено создание комплексной системной модели совершенствования условий организации и осуществления образовательного процесса для преодоления синдрома дефицита внимания и гиперактивности обучающихся 1-7 классов общеобразовательных школ посредством определения оптимальных организационно-педагогических условий образовательного процесса. Данная модель состоит из следующих компонентов, представляющих собой систему взаимосвязанных условий: внешние условия: взаимодействие с социокультурной средой, использование информационной цифровой среды, интеграция педагогического, психологического и медицинского подходов, социальное партнерство с родителями, объединение ресурсов сетевых и социальных партнеров с целью обеспечения комплексной психолого-педагогической поддержки в образовательном процессе обучающихся с СДВГ; внутренние условия, которые включают систему повышения психолого-педагогической компетентности педагогов. Ожидаемый результат повышения квалификации учителей на основе такой модели – это профессиональная готовность педагогов к обеспечению условий образовательного процесса адекватных специфическим потребностям обучающихся с СДВГ в рамках реализации ФГОС НО, ООО. </w:t>
      </w:r>
    </w:p>
    <w:p>
      <w:pPr>
        <w:pStyle w:val="Normal"/>
        <w:tabs>
          <w:tab w:val="clear" w:pos="708"/>
          <w:tab w:val="left" w:pos="720" w:leader="none"/>
        </w:tabs>
        <w:spacing w:lineRule="auto" w:line="357"/>
        <w:ind w:right="76" w:firstLine="540"/>
        <w:jc w:val="both"/>
        <w:rPr>
          <w:sz w:val="24"/>
        </w:rPr>
      </w:pPr>
      <w:r>
        <w:rPr>
          <w:sz w:val="24"/>
        </w:rPr>
        <w:t xml:space="preserve">В основу предлагаемой технологии положены основные положения, опирающиеся на следующие научные концепции: научно-теоретичeское обоснование этиологии и патогенеза СДВГ М.И. Лохова, Ю.А. Фесенко, Л.П. Рубиной, которые определяют, что повышенная двигательная активнoсть ребенка с СДВГ служит своеобразным защитным механизмом, поддeрживающим определенное функциональное взаимодействие мeжду структурами мозга, ответственными за его нормальное развитиe; основные положeния клинической психологии семьи, формирующие представление о семье, как системe (Э.Г. Эйдемиллер, И.М. Никольская, 2005); теория когнитивнo-поведенческой психотерапии (A. Bandura, M.J. Mahoney, A. Ellis), в рамках которой предлагается рaссматривать поведенческие проблемы, как следствие пробелов в обучении и воспитании, а моделирование поведения − как обучающий и психокоррекционный процесс одновременно; концептуальные положения Л.С. Выготского, в рамках которых социальная ситуация развития – положение ребёнка в обществе, система его отношений со взрослыми и сверстниками определяет его психическое развитие, а её изменение – переход от одного возрастного периода к другому; концептуальные положения А.Н. Леонтьева, Д.Б. Эльконина о ведущих типах деятельности и принципиальной роли совместной деятельности для развития ребёнка; концептуальные положения В.А. Караковского, Л.И. Новиковой, Н.Л. Селивановой, рассматривающих воспитание, как процесс создания и функционирования детско-взрослой общности, в рамках которого происходит становление индивидуальной картины мира ребёнка, и как процесс управления развитием личности ребёнка через создание благоприятных условий, а само развитие личности – как процесс самостоятельного конструирования мира, то есть процесс саморазвития ребёнка. В качестве приоритетных определены следующие мишени психолого-педагогической коррекции дефицитарных функций для преодоления СДВГ у обучающихся: комплекс когнитивных характеристик: особенности познавательной деятельности, нарушения зрительной и моторной координации, утомляемость, низкая работоспособность; комплекс эмоционально-волевых характеристик: снижение произвольной саморегуляции, зависимость работоспособности от внешней обстановки, снижение качества и скорости когнитивных процессов при эмоциональной активации; комплекс личностных характеристик: поведенческие проявления, особенности коммуникативных навыков, особенности межличностных отношений. Данные мишени психолого-педагогической коррекции дефицитарных функций определены в зависимости от возраста обучающихся: возрастная группа 1 класс − создание педагогических условий для компенсации недостаточно сформированных когнитивных и эмоционально-волевых показателей, гармонизации отношений в диаде родители - дети; возрастная группа 2-3 класс − создание педагогических условий для совершенствования мотивационной и поведенческой сферы, компенсации недостаточно сформированных когнитивных и эмоционально-волевых показателей, гармонизации отношений в диаде родители - дети; возрастная группа 4-5 класс − создание педагогических условий для совершенствования мотивационной сферы, компенсации недостаточно сформированных когнитивных и эмоционально-волевых показателей, коррекция поведенческих проявлений, гармонизации отношений в диаде родители - дети; возрастная группа 6-7 класс − создание педагогических условий для совершенствования мотивационно-личностной сферы, недостаточно сформированных эмоционально-волевых показателей, коррекции поведенческих проявлений, гармонизации отношений в диаде родители - дети. </w:t>
      </w:r>
    </w:p>
    <w:p>
      <w:pPr>
        <w:pStyle w:val="Normal"/>
        <w:shd w:fill="FFFFFF" w:val="clear"/>
        <w:tabs>
          <w:tab w:val="clear" w:pos="708"/>
          <w:tab w:val="left" w:pos="720" w:leader="none"/>
        </w:tabs>
        <w:spacing w:lineRule="auto" w:line="357"/>
        <w:ind w:right="76" w:firstLine="540"/>
        <w:jc w:val="both"/>
        <w:rPr>
          <w:sz w:val="24"/>
        </w:rPr>
      </w:pPr>
      <w:r>
        <w:rPr>
          <w:sz w:val="24"/>
        </w:rPr>
        <w:t xml:space="preserve">Алгоритм шагов по реализации данной технологии совершенствования условий организации и осуществления образовательного процесса, способствующих преодолению СДВГ у обучающихся представляет из себя следующую последовательность этапов: </w:t>
      </w:r>
    </w:p>
    <w:p>
      <w:pPr>
        <w:pStyle w:val="Normal"/>
        <w:tabs>
          <w:tab w:val="clear" w:pos="708"/>
          <w:tab w:val="left" w:pos="720" w:leader="none"/>
        </w:tabs>
        <w:spacing w:lineRule="auto" w:line="357"/>
        <w:ind w:right="76" w:firstLine="540"/>
        <w:jc w:val="both"/>
        <w:rPr>
          <w:sz w:val="24"/>
        </w:rPr>
      </w:pPr>
      <w:r>
        <w:rPr>
          <w:sz w:val="24"/>
        </w:rPr>
        <w:t xml:space="preserve">диагностический этап позволяет выявить обучающихся, которые, по мнению педагогов, испытывают трудности обучения в связи с СДВГ, организовать информационно-мотивационные мероприятия для родителей, осуществить диагностические исследования с использованием разработанного пакета диагностических материалов по выявлению обучающихся "группы риска СДВГ" с учетом медицинского компонента, обобщить полученные результаты и разработать рекомендации по совершенствованию условий индивидуализации образовательного процесса для обучающихся; </w:t>
      </w:r>
    </w:p>
    <w:p>
      <w:pPr>
        <w:pStyle w:val="Normal"/>
        <w:tabs>
          <w:tab w:val="clear" w:pos="708"/>
          <w:tab w:val="left" w:pos="720" w:leader="none"/>
        </w:tabs>
        <w:spacing w:lineRule="auto" w:line="357"/>
        <w:ind w:right="76" w:firstLine="540"/>
        <w:jc w:val="both"/>
        <w:rPr>
          <w:sz w:val="24"/>
        </w:rPr>
      </w:pPr>
      <w:r>
        <w:rPr>
          <w:sz w:val="24"/>
        </w:rPr>
        <w:t xml:space="preserve">этап планирования направлен на создание "карты условий для преодоления симптомов СДВГ у обучающихся" в конкретном классе, планирование индивидуальных образовательных маршрутов, организация и совершенствование работы психолого-педагогического консилиума или иной организационной структуры в школе для обеспечения разработки, контроля и коррекции реализации индивидуализированных подходов к организации образовательного процесса относительно обучающихся с особыми образовательными потребностями, обусловленными СДВГ; </w:t>
      </w:r>
    </w:p>
    <w:p>
      <w:pPr>
        <w:pStyle w:val="Normal"/>
        <w:tabs>
          <w:tab w:val="clear" w:pos="708"/>
          <w:tab w:val="left" w:pos="720" w:leader="none"/>
        </w:tabs>
        <w:spacing w:lineRule="auto" w:line="357"/>
        <w:ind w:right="76" w:firstLine="540"/>
        <w:jc w:val="both"/>
        <w:rPr>
          <w:sz w:val="24"/>
        </w:rPr>
      </w:pPr>
      <w:r>
        <w:rPr>
          <w:sz w:val="24"/>
        </w:rPr>
        <w:t xml:space="preserve">этап реализации технологии ориентирован на контроль и ведение случаев, обучение и психолого-педагогическую поддержку педагогов и родителей/законных представителей, организацию для педагогов и родителей очных консультаций специалистов (врач-невролог, психиатр, педагог-психолог), супервизорские встречи, заседания методических объединений учителей, воспитателей по проблемам обучения, воспитания и социализации детей с СДВГ в рамках урочной, внеурочной деятельности, дополнительного образования; </w:t>
      </w:r>
    </w:p>
    <w:p>
      <w:pPr>
        <w:pStyle w:val="Normal"/>
        <w:tabs>
          <w:tab w:val="clear" w:pos="708"/>
          <w:tab w:val="left" w:pos="720" w:leader="none"/>
        </w:tabs>
        <w:spacing w:lineRule="auto" w:line="357"/>
        <w:ind w:right="76" w:firstLine="540"/>
        <w:jc w:val="both"/>
        <w:rPr>
          <w:sz w:val="24"/>
        </w:rPr>
      </w:pPr>
      <w:r>
        <w:rPr>
          <w:sz w:val="24"/>
        </w:rPr>
        <w:t xml:space="preserve">заключительный этап направлен на оценку результативности, степени влияния комплекса условий на когнитивную, поведенческую, эмоционально-волевую сферы, академическую успешность, социальный статус обучающихся с СДВГ в классе. </w:t>
      </w:r>
    </w:p>
    <w:p>
      <w:pPr>
        <w:pStyle w:val="Normal"/>
        <w:tabs>
          <w:tab w:val="clear" w:pos="708"/>
          <w:tab w:val="left" w:pos="720" w:leader="none"/>
        </w:tabs>
        <w:spacing w:lineRule="auto" w:line="357"/>
        <w:ind w:right="76" w:firstLine="540"/>
        <w:jc w:val="both"/>
        <w:rPr>
          <w:sz w:val="24"/>
        </w:rPr>
      </w:pPr>
      <w:r>
        <w:rPr>
          <w:sz w:val="24"/>
        </w:rPr>
        <w:t xml:space="preserve">Формы реализации технологии внедрения модели: информирование и диагностика; тренинг родительских навыков; групповые формы повышения квалификации, эмоциональной и профессиональной поддержки педагогов; очное индивидуальное консультирование педагогов и родителей; тематические индивидуальные и групповые консультации в формате чатов (с помощью google-ресурсов). Информирование и первичная диагностика проводится на плановых мероприятиях для педагогов, родительских собраниях, где разъясняются цели и задачи планируемой работы, проводится процедура получения информированного согласия родителей. В качестве первого этапа диагностики, родители заполняют диагностическую форму, разработанную с учетом диагностических категорий, представленных в МКБ-10. </w:t>
      </w:r>
    </w:p>
    <w:p>
      <w:pPr>
        <w:pStyle w:val="Normal"/>
        <w:tabs>
          <w:tab w:val="clear" w:pos="708"/>
          <w:tab w:val="left" w:pos="720" w:leader="none"/>
        </w:tabs>
        <w:spacing w:lineRule="auto" w:line="357"/>
        <w:ind w:right="76" w:firstLine="540"/>
        <w:jc w:val="both"/>
        <w:rPr>
          <w:sz w:val="24"/>
        </w:rPr>
      </w:pPr>
      <w:r>
        <w:rPr>
          <w:sz w:val="24"/>
        </w:rPr>
        <w:t>В совокупности, данные, полученные от родителей и учителей, составляют материал первичной диагностической оценки, который служит для определения дальнейшего маршрута помощи родителям. Наиболее эффективным является групповой тренинг родительских навыков который обеспечивает создание психолого-педагогических условий реализации разработанной в рамках ОЭР комплексной системной модели совершенствования условий образовательного процесса для детей с СДВГ. К основным методам реализации технологии группового тренинга родительских навыков относятся: игровые методы, обучение приемам саморегуляции эмоциональных состояний, методы арт-терапии, психосинтеза, сочетающие элементы обучения/информирования и психологической поддержки. В работе используются истории, притчи, как носители традиций, которые помогают компенсировать недостаточную сформированность на более ранних этапах психического развития социальных ценностей, как регуляторов поведения. С их помощью постигается относительный характер определенных норм, происходит смена позиции не за счет утраты ценностей, а понимания того, что могут быть предпочтительные, приоритетные ценности. (И.И. Мамайчук, 2001; А.И. Захаров, 1982; И.М. Никольская, 2001; К. Фопель, 1998; М.П. Цветкова, Л.М. Шипицына, 1995; Д.Б. Эльконин, 1978; Э.Г. Эйдемиллер, 2002; N.W. Ackerman, 1958, 1982; A. Bandura, 1969). Программа тренинга предполагает углубленную диагностику стилей семейного воспитания, применяемых родителями (рекомендуется методика АСВ Э.Г. Эйдемиллера, В. Юстицкиса), оказание педагогам и родителям эмоциональной поддержки, предоставление информации о проявлениях СДВГ у детей, а также обучение практическим навыкам совладания с трудным поведением ребенка [27, 28, 30].</w:t>
      </w:r>
    </w:p>
    <w:p>
      <w:pPr>
        <w:pStyle w:val="Normal"/>
        <w:tabs>
          <w:tab w:val="clear" w:pos="708"/>
          <w:tab w:val="left" w:pos="720" w:leader="none"/>
        </w:tabs>
        <w:spacing w:lineRule="auto" w:line="357"/>
        <w:ind w:right="76" w:firstLine="540"/>
        <w:jc w:val="both"/>
        <w:rPr>
          <w:sz w:val="24"/>
        </w:rPr>
      </w:pPr>
      <w:r>
        <w:rPr>
          <w:sz w:val="24"/>
        </w:rPr>
        <w:t xml:space="preserve">При необходимости на мероприятия приглашается врач-психиатр или врач-невролог. Тематические индивидуальные и групповые консультации в формате чатов (с помощью google-ресурсов) позволяют оказать своевременную информационную и психолого-педагогическую поддержку родителям. </w:t>
      </w:r>
    </w:p>
    <w:p>
      <w:pPr>
        <w:pStyle w:val="Normal"/>
        <w:tabs>
          <w:tab w:val="clear" w:pos="708"/>
          <w:tab w:val="left" w:pos="720" w:leader="none"/>
        </w:tabs>
        <w:spacing w:lineRule="auto" w:line="357"/>
        <w:ind w:right="76" w:firstLine="540"/>
        <w:jc w:val="both"/>
        <w:rPr>
          <w:sz w:val="24"/>
        </w:rPr>
      </w:pPr>
      <w:r>
        <w:rPr>
          <w:sz w:val="24"/>
        </w:rPr>
        <w:t>Для овладения педагогами технологией совершенствования условий организации и осуществления образовательного процесса, способствующих преодолению СДВГ у обучающихся, безусловно необходима организация целевого повышения квалификации по данной проблематике. В ходе такого повышения квалификации у педагогов будут сформированы профессиональные компетенции, необходимые для выстраивания гармоничных отношений с детьми, имеющими особые образовательные потребности в связи с наличием СДВГ, их успешного обучения, и заложены основы партнерских отношений семьи ребенка с СДВГ и школы. Разработанная технология обеспечивает, в соответствии с Федеральным законом «Об образовании в Российской Федерации» права обучающихся с СДВГ на предоставление специфических организационно-педагогических, психолого-педагогических, информационно-методических ресурсов, дидактических, санитарно-гигиенических условий для обучения с учетом психофизического развития, состояния здоровья и возрастных особенностей обучающихся с СДВГ.</w:t>
      </w:r>
    </w:p>
    <w:p>
      <w:pPr>
        <w:pStyle w:val="Normal"/>
        <w:tabs>
          <w:tab w:val="clear" w:pos="708"/>
          <w:tab w:val="left" w:pos="720" w:leader="none"/>
        </w:tabs>
        <w:spacing w:lineRule="auto" w:line="357"/>
        <w:ind w:right="76" w:firstLine="540"/>
        <w:jc w:val="both"/>
        <w:rPr>
          <w:sz w:val="24"/>
        </w:rPr>
      </w:pPr>
      <w:r>
        <w:rPr>
          <w:sz w:val="24"/>
        </w:rPr>
      </w:r>
    </w:p>
    <w:p>
      <w:pPr>
        <w:pStyle w:val="Normal"/>
        <w:numPr>
          <w:ilvl w:val="0"/>
          <w:numId w:val="23"/>
        </w:numPr>
        <w:tabs>
          <w:tab w:val="clear" w:pos="708"/>
          <w:tab w:val="left" w:pos="360" w:leader="none"/>
          <w:tab w:val="left" w:pos="851" w:leader="none"/>
        </w:tabs>
        <w:spacing w:lineRule="auto" w:line="357"/>
        <w:ind w:left="0" w:right="76" w:firstLine="567"/>
        <w:jc w:val="both"/>
        <w:rPr>
          <w:b/>
          <w:b/>
          <w:bCs/>
          <w:sz w:val="24"/>
          <w:szCs w:val="24"/>
        </w:rPr>
      </w:pPr>
      <w:bookmarkStart w:id="3" w:name="_Hlk60999396"/>
      <w:bookmarkEnd w:id="3"/>
      <w:r>
        <w:rPr>
          <w:b/>
          <w:bCs/>
          <w:sz w:val="24"/>
          <w:szCs w:val="24"/>
        </w:rPr>
        <w:t xml:space="preserve">Образовательная программа </w:t>
      </w:r>
      <w:bookmarkStart w:id="4" w:name="_Hlk60999175"/>
      <w:r>
        <w:rPr>
          <w:b/>
          <w:bCs/>
          <w:sz w:val="24"/>
          <w:szCs w:val="24"/>
        </w:rPr>
        <w:t>дополнительного образования (курсы повышения квалификации) «Проектирование педагогических условий для преодоления синдрома дефицита внимания и гиперактивности обучающихся в образовательном процессе».</w:t>
      </w:r>
      <w:bookmarkEnd w:id="4"/>
    </w:p>
    <w:p>
      <w:pPr>
        <w:pStyle w:val="Normal"/>
        <w:tabs>
          <w:tab w:val="clear" w:pos="708"/>
          <w:tab w:val="left" w:pos="720" w:leader="none"/>
        </w:tabs>
        <w:autoSpaceDE w:val="false"/>
        <w:spacing w:lineRule="auto" w:line="360"/>
        <w:ind w:firstLine="567"/>
        <w:jc w:val="both"/>
        <w:rPr>
          <w:b/>
          <w:b/>
          <w:bCs/>
          <w:sz w:val="24"/>
          <w:szCs w:val="24"/>
        </w:rPr>
      </w:pPr>
      <w:r>
        <w:rPr>
          <w:b/>
          <w:bCs/>
          <w:sz w:val="24"/>
          <w:szCs w:val="24"/>
        </w:rPr>
      </w:r>
      <w:bookmarkStart w:id="5" w:name="_Hlk60999396"/>
      <w:bookmarkStart w:id="6" w:name="_Hlk60999396"/>
      <w:bookmarkEnd w:id="6"/>
    </w:p>
    <w:p>
      <w:pPr>
        <w:pStyle w:val="Normal"/>
        <w:tabs>
          <w:tab w:val="clear" w:pos="708"/>
          <w:tab w:val="left" w:pos="720" w:leader="none"/>
        </w:tabs>
        <w:autoSpaceDE w:val="false"/>
        <w:spacing w:lineRule="auto" w:line="360"/>
        <w:ind w:firstLine="567"/>
        <w:jc w:val="both"/>
        <w:rPr>
          <w:rFonts w:eastAsia="PTSerif-Regular;MS Mincho"/>
          <w:sz w:val="24"/>
          <w:szCs w:val="20"/>
        </w:rPr>
      </w:pPr>
      <w:r>
        <w:rPr>
          <w:sz w:val="24"/>
        </w:rPr>
        <w:t xml:space="preserve">Успешность компенсации дефицитарных функций обучащихся с СДВГ в образовательном процессе неразрывно связана с активной позицией учителя, с адекватностью построения им образовательного процесса, выбора условий и методик обучения. </w:t>
      </w:r>
      <w:r>
        <w:rPr>
          <w:rFonts w:eastAsia="PTSerif-Regular;MS Mincho"/>
          <w:sz w:val="24"/>
          <w:szCs w:val="20"/>
        </w:rPr>
        <w:t>Следует подчеркнуть, что авторы педагогических и психолого-педагогических исследований рассматривают гуманистическую образовательную среду, как фактор развития не только личности обучающегося, но и личности педагога (В.В. Рубцов, В.И. Слободчиков, В.А. Ясвин, Е.В. Лапина и др.) на нескольких уровнях:</w:t>
      </w:r>
    </w:p>
    <w:p>
      <w:pPr>
        <w:pStyle w:val="Normal"/>
        <w:tabs>
          <w:tab w:val="clear" w:pos="708"/>
          <w:tab w:val="left" w:pos="720" w:leader="none"/>
        </w:tabs>
        <w:spacing w:lineRule="auto" w:line="357"/>
        <w:ind w:right="76" w:firstLine="567"/>
        <w:jc w:val="both"/>
        <w:rPr/>
      </w:pPr>
      <w:r>
        <w:rPr>
          <w:sz w:val="24"/>
        </w:rPr>
        <w:t>Социально-педагогический уровень (развитие профессионально значимых ценностей педагога в контексте существующих в настоящее время социальных и педагогических реалий, требований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pPr>
        <w:pStyle w:val="Normal"/>
        <w:tabs>
          <w:tab w:val="clear" w:pos="708"/>
          <w:tab w:val="left" w:pos="720" w:leader="none"/>
        </w:tabs>
        <w:spacing w:lineRule="auto" w:line="357"/>
        <w:ind w:right="76" w:firstLine="567"/>
        <w:jc w:val="both"/>
        <w:rPr>
          <w:strike/>
          <w:sz w:val="24"/>
        </w:rPr>
      </w:pPr>
      <w:r>
        <w:rPr>
          <w:sz w:val="24"/>
        </w:rPr>
        <w:t xml:space="preserve">Научно-теоретический уровень характеризуется фундаментальностью предлагаемых для освоения знаний, предполагает насыщенность образовательной среды современной научно-теоретической информацией) </w:t>
      </w:r>
    </w:p>
    <w:p>
      <w:pPr>
        <w:pStyle w:val="Normal"/>
        <w:tabs>
          <w:tab w:val="clear" w:pos="708"/>
          <w:tab w:val="left" w:pos="720" w:leader="none"/>
        </w:tabs>
        <w:spacing w:lineRule="auto" w:line="357"/>
        <w:ind w:right="76" w:firstLine="567"/>
        <w:jc w:val="both"/>
        <w:rPr/>
      </w:pPr>
      <w:r>
        <w:rPr>
          <w:sz w:val="24"/>
        </w:rPr>
        <w:t xml:space="preserve">Научно-методический уровень характеризуется актуальностью организуемой в ходе повышения квалификации исследовательской и научно-методической деятельности, ее направленностью на определение комплекса организационно-педагогических условий для преодоления препятствий в профессиональной деятельности и приобретения навыков рефлексии профессионально значимых ценностей в процессе обучения детей с особыми образовательными потребностями). </w:t>
      </w:r>
    </w:p>
    <w:p>
      <w:pPr>
        <w:pStyle w:val="Normal"/>
        <w:tabs>
          <w:tab w:val="clear" w:pos="708"/>
          <w:tab w:val="left" w:pos="720" w:leader="none"/>
        </w:tabs>
        <w:spacing w:lineRule="auto" w:line="357"/>
        <w:ind w:right="76" w:firstLine="567"/>
        <w:jc w:val="both"/>
        <w:rPr>
          <w:sz w:val="24"/>
        </w:rPr>
      </w:pPr>
      <w:r>
        <w:rPr>
          <w:sz w:val="24"/>
        </w:rPr>
        <w:t xml:space="preserve">Личностный уровень (направленность моделируемых характеристик образовательной среды на рефлексию своей профессиональной миссии и профессионально значимых ценностей в процессе обучения детей с особыми образовательными потребностями, приобретение нового опыта межличностного взаимодействия, улучшение профессиональных коммуникативных навыков, снижение профессионального стресса и «эмоционального выгорания», получение эмоциональной поддержки). </w:t>
      </w:r>
      <w:r>
        <w:rPr>
          <w:rFonts w:eastAsia="PTSerif-Regular;MS Mincho"/>
          <w:sz w:val="24"/>
          <w:szCs w:val="20"/>
        </w:rPr>
        <w:t>[3,11</w:t>
      </w:r>
      <w:r>
        <w:rPr>
          <w:sz w:val="24"/>
        </w:rPr>
        <w:t>]</w:t>
      </w:r>
    </w:p>
    <w:p>
      <w:pPr>
        <w:pStyle w:val="Normal"/>
        <w:tabs>
          <w:tab w:val="clear" w:pos="708"/>
          <w:tab w:val="left" w:pos="720" w:leader="none"/>
        </w:tabs>
        <w:spacing w:lineRule="auto" w:line="357"/>
        <w:ind w:right="76" w:firstLine="567"/>
        <w:jc w:val="both"/>
        <w:rPr>
          <w:sz w:val="24"/>
        </w:rPr>
      </w:pPr>
      <w:r>
        <w:rPr>
          <w:sz w:val="24"/>
        </w:rPr>
        <w:t xml:space="preserve">Образовательная программа повышения квалификации «Проектирование педагогических условий для преодоления синдрома дефицита внимания и гиперактивности у обучающихся в образовательном процессе» направлена на повышение профессиональной компетентности педагогов образовательных организаций в сфере оказания педагогической поддержки обучающимся с синдромом дефицита внимания и гиперактивности в образовательном процессе. </w:t>
      </w:r>
    </w:p>
    <w:p>
      <w:pPr>
        <w:pStyle w:val="Normal"/>
        <w:tabs>
          <w:tab w:val="clear" w:pos="708"/>
          <w:tab w:val="left" w:pos="720" w:leader="none"/>
        </w:tabs>
        <w:spacing w:lineRule="auto" w:line="357"/>
        <w:ind w:right="76" w:firstLine="567"/>
        <w:jc w:val="both"/>
        <w:rPr>
          <w:sz w:val="24"/>
        </w:rPr>
      </w:pPr>
      <w:r>
        <w:rPr>
          <w:sz w:val="24"/>
        </w:rPr>
        <w:t xml:space="preserve">Актуальность и практическая значимость ДПП для педагогов образовательных организаций данной программы обусловлена тем, что ее содержание построено в соответствии с современными нормативными требованиями и актуальной ситуацией с воспитанием и обучением детей с особыми образовательными потребностями. В ходе теоретических занятий рассматриваются вопросы научно-методического обеспечения обучения и воспитания детей с особыми образовательными потребностями в соответствии со стратегическими документами системы образования, в т.ч., Постановлением Правительства РФ от 26.12.2017 № 1642 "Об утверждении государственной программы Российской Федерации "Развитие образования". Рассматриваются возрастные особенности обучающихся, психофизиологические особенности детей с СДВГ, технологии индивидуализации образовательного процесса для преодоления СДВГ у обучающихся. На практических занятиях планируется освоение современных инновационных технологий проектирования педагогических условий для преодоления синдрома дефицита внимания и гиперактивности у обучающихся в образовательном процессе в соответствии с потребностями обучающихся с СДВГ и современной нормативной правовой базой. </w:t>
      </w:r>
    </w:p>
    <w:p>
      <w:pPr>
        <w:pStyle w:val="Normal"/>
        <w:tabs>
          <w:tab w:val="clear" w:pos="708"/>
          <w:tab w:val="left" w:pos="720" w:leader="none"/>
        </w:tabs>
        <w:spacing w:lineRule="auto" w:line="360"/>
        <w:ind w:firstLine="567"/>
        <w:jc w:val="both"/>
        <w:rPr/>
      </w:pPr>
      <w:r>
        <w:rPr>
          <w:color w:val="000000"/>
          <w:sz w:val="24"/>
          <w:szCs w:val="24"/>
        </w:rPr>
        <w:t xml:space="preserve">В основу обучения по данной ДПП положен профессиональный стандарт: "Педагог </w:t>
      </w:r>
      <w:r>
        <w:rPr>
          <w:sz w:val="24"/>
          <w:szCs w:val="24"/>
        </w:rPr>
        <w:t>(педагогическая деятельность в сфере дошкольного, начального общего, основного общего, среднего общего образования) (воспитатель, учитель)" Приказ Минтруда России от 18.10.2013 № 544н (с изм. от 25.12.2014), 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трудовая функция «Развивающая деятельность., трудовые действия «Оценка параметров и проектирование психологически безопасной и комфортной образовательной среды»,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 «Освоение и применение психолого-педагогических технологий (в том числе инклюзивных), необходимых для адресной работы с детьми с особыми образовательными потребностями (дети с синдромом дефицита внимания и гиперактивностью»</w:t>
      </w:r>
    </w:p>
    <w:p>
      <w:pPr>
        <w:pStyle w:val="Normal"/>
        <w:tabs>
          <w:tab w:val="clear" w:pos="708"/>
          <w:tab w:val="left" w:pos="720" w:leader="none"/>
        </w:tabs>
        <w:spacing w:lineRule="auto" w:line="360"/>
        <w:ind w:firstLine="567"/>
        <w:jc w:val="both"/>
        <w:rPr/>
      </w:pPr>
      <w:r>
        <w:rPr>
          <w:sz w:val="24"/>
          <w:szCs w:val="24"/>
        </w:rPr>
        <w:t>Программа состоит из трех взаимодополняющих модулей: модуль 2 включает теоретическое обоснование практического применения современных технологий проектирования педагогических условий для преодоления синдрома дефицита внимания и гиперактивности у обучающихся в образовательном процессе, рассматриваемых в модуле 3, в рамках нормативного поля, обеспечивающего решение задач государственной политики в сфере развития детей с особыми образовательными потребностями в образовательной организации, которым посвящен модуль 1. В модуле 1 рассматриваются вопросы профессиональной компетентности педагога в сфере работы с детьми с особыми образовательными потребностями, реализуются практикумы с применением дистанционных образовательных технологий. Модуль 1. «Профессиональная компетентность педагога ГОУ в работе с детьми с особыми образовательными потребностями». В данном модуле рассматриваются вопросы профессиональной компетентности педагога в сфере работы с детьми с особыми образовательными потребностями в соответствии с Профессиональным стандартом «Педагог» и ФГОС НО, ООО, c учетом особенностей развития и социализации современных детей и подростков. Рассматриваются вопросы сотрудничества и взаимодействия с семьей обучающихся с СДВГ, оказания родителям (законным представителям) поддержки и обучения их навыкам поддержки детей с СДВГ в современном образовательном процессе. Практикумы данного модуля проводятся с применением дистанционных образовательных технологий: нормативно-правовые акты, регулирующие работу с детьми с особыми образовательными потребностями, изучаются и анализируются обучающимися с помощью материалов, расположенных на гугл-ресурсах кафедры педагогики семьи; оценка параметров и проектирование психологически безопасной и комфортной образовательной среды для детей с особыми образовательными потребностями осуществляется на основе материалов, находящихся на гугл-диске кафедры педагогики семьи.</w:t>
      </w:r>
    </w:p>
    <w:p>
      <w:pPr>
        <w:pStyle w:val="Normal"/>
        <w:tabs>
          <w:tab w:val="clear" w:pos="708"/>
          <w:tab w:val="left" w:pos="720" w:leader="none"/>
        </w:tabs>
        <w:spacing w:lineRule="auto" w:line="360"/>
        <w:ind w:firstLine="567"/>
        <w:jc w:val="both"/>
        <w:rPr>
          <w:sz w:val="24"/>
          <w:szCs w:val="24"/>
        </w:rPr>
      </w:pPr>
      <w:r>
        <w:rPr>
          <w:sz w:val="24"/>
          <w:szCs w:val="24"/>
        </w:rPr>
        <w:t xml:space="preserve">Модуль 2. </w:t>
      </w:r>
      <w:bookmarkStart w:id="7" w:name="_Hlk61000272"/>
      <w:r>
        <w:rPr>
          <w:sz w:val="24"/>
          <w:szCs w:val="24"/>
        </w:rPr>
        <w:t xml:space="preserve">«Научно-теоретические подходы к обучению и воспитанию детей с СДВГ». </w:t>
      </w:r>
      <w:bookmarkEnd w:id="7"/>
      <w:r>
        <w:rPr>
          <w:sz w:val="24"/>
          <w:szCs w:val="24"/>
        </w:rPr>
        <w:t xml:space="preserve">В данном модуле рассматриваются психофизиологические особенности детей с СДВГ, этиология и патогенез заболевания, обуславливающие трудности в обучении, поведении данной категории детей. Обсуждаются существующие подходы к коррекции нарушенных когнитивных функций, эмоционально-волевой и мотивационной сферы. Воспитательные стратегии, наиболее эффективные для работы с детьми с СДВГ. На практикумах слушатели знакомятся с диагностическим инструментарием, алгоритмом разработки и реализации индивидуального образовательного маршрута для обучающихся с СДВГ. </w:t>
      </w:r>
    </w:p>
    <w:p>
      <w:pPr>
        <w:pStyle w:val="Normal"/>
        <w:tabs>
          <w:tab w:val="clear" w:pos="708"/>
          <w:tab w:val="left" w:pos="720" w:leader="none"/>
        </w:tabs>
        <w:spacing w:lineRule="auto" w:line="360"/>
        <w:ind w:firstLine="567"/>
        <w:jc w:val="both"/>
        <w:rPr>
          <w:sz w:val="24"/>
          <w:szCs w:val="24"/>
        </w:rPr>
      </w:pPr>
      <w:r>
        <w:rPr>
          <w:sz w:val="24"/>
          <w:szCs w:val="24"/>
        </w:rPr>
        <w:t>Модуль 3. «Технологии проектирования педагогических условий для преодоления синдрома дефицита внимания и гиперактивности у обучающихся в образовательном процессе». В данном модуле акцент сделан на практикоориентированный компетентностный подход, представляющий собой совокупность современных, в том числе интерактивных, форм, коррекционно-развивающих методов и технологий работы, используемых как на занятии, так и во внеурочной деятельности.</w:t>
      </w:r>
    </w:p>
    <w:p>
      <w:pPr>
        <w:pStyle w:val="Normal"/>
        <w:tabs>
          <w:tab w:val="clear" w:pos="708"/>
          <w:tab w:val="left" w:pos="720" w:leader="none"/>
        </w:tabs>
        <w:spacing w:lineRule="auto" w:line="360"/>
        <w:ind w:firstLine="567"/>
        <w:jc w:val="both"/>
        <w:rPr>
          <w:sz w:val="24"/>
          <w:szCs w:val="24"/>
        </w:rPr>
      </w:pPr>
      <w:r>
        <w:rPr>
          <w:sz w:val="24"/>
          <w:szCs w:val="24"/>
        </w:rPr>
        <w:t>Цель обучения: совершенствование профессиональной компетентности педагогов в сфере проектирования педагогических условий для преодоления синдрома дефицита внимания и гиперактивности у обучающихся в образовательном процессе.</w:t>
      </w:r>
    </w:p>
    <w:p>
      <w:pPr>
        <w:pStyle w:val="Normal"/>
        <w:spacing w:lineRule="auto" w:line="360"/>
        <w:ind w:firstLine="567"/>
        <w:jc w:val="both"/>
        <w:rPr>
          <w:rFonts w:eastAsia="Calibri"/>
          <w:b/>
          <w:b/>
          <w:color w:val="000000"/>
          <w:sz w:val="24"/>
          <w:szCs w:val="24"/>
          <w:lang w:eastAsia="en-US"/>
        </w:rPr>
      </w:pPr>
      <w:r>
        <w:rPr>
          <w:rFonts w:eastAsia="Calibri"/>
          <w:b/>
          <w:color w:val="000000"/>
          <w:sz w:val="24"/>
          <w:szCs w:val="24"/>
          <w:lang w:eastAsia="en-US"/>
        </w:rPr>
        <w:t>Планируемые результаты обучения:</w:t>
      </w:r>
    </w:p>
    <w:p>
      <w:pPr>
        <w:pStyle w:val="Normal"/>
        <w:spacing w:lineRule="auto" w:line="360"/>
        <w:ind w:firstLine="567"/>
        <w:jc w:val="both"/>
        <w:rPr>
          <w:rFonts w:eastAsia="Calibri"/>
          <w:color w:val="000000"/>
          <w:sz w:val="24"/>
          <w:szCs w:val="24"/>
          <w:lang w:eastAsia="en-US"/>
        </w:rPr>
      </w:pPr>
      <w:r>
        <w:rPr>
          <w:rFonts w:eastAsia="Calibri"/>
          <w:color w:val="000000"/>
          <w:sz w:val="24"/>
          <w:szCs w:val="24"/>
          <w:lang w:eastAsia="en-US"/>
        </w:rPr>
        <w:t>В соответствии с указанным выше профессиональным стандартом (- ами) слушатель данной ДПП готовится к решению следующих задач профессиональной деятельности и должен обладать следующими профессиональными компетенциями (обязательные результаты обучения):</w:t>
      </w:r>
    </w:p>
    <w:p>
      <w:pPr>
        <w:pStyle w:val="Normal"/>
        <w:ind w:firstLine="390"/>
        <w:rPr>
          <w:rFonts w:eastAsia="Calibri"/>
          <w:b/>
          <w:b/>
          <w:color w:val="000000"/>
          <w:sz w:val="24"/>
          <w:szCs w:val="24"/>
          <w:lang w:eastAsia="en-US"/>
        </w:rPr>
      </w:pPr>
      <w:r>
        <w:rPr>
          <w:rFonts w:eastAsia="Calibri"/>
          <w:b/>
          <w:color w:val="000000"/>
          <w:sz w:val="24"/>
          <w:szCs w:val="24"/>
          <w:lang w:eastAsia="en-US"/>
        </w:rPr>
      </w:r>
    </w:p>
    <w:tbl>
      <w:tblPr>
        <w:tblW w:w="9445" w:type="dxa"/>
        <w:jc w:val="left"/>
        <w:tblInd w:w="-94" w:type="dxa"/>
        <w:tblLayout w:type="fixed"/>
        <w:tblCellMar>
          <w:top w:w="140" w:type="dxa"/>
          <w:left w:w="80" w:type="dxa"/>
          <w:bottom w:w="140" w:type="dxa"/>
          <w:right w:w="80" w:type="dxa"/>
        </w:tblCellMar>
      </w:tblPr>
      <w:tblGrid>
        <w:gridCol w:w="2632"/>
        <w:gridCol w:w="2693"/>
        <w:gridCol w:w="4036"/>
        <w:gridCol w:w="15"/>
        <w:gridCol w:w="8"/>
        <w:gridCol w:w="23"/>
        <w:gridCol w:w="38"/>
      </w:tblGrid>
      <w:tr>
        <w:trPr>
          <w:trHeight w:val="1004" w:hRule="atLeast"/>
        </w:trPr>
        <w:tc>
          <w:tcPr>
            <w:tcW w:w="2632" w:type="dxa"/>
            <w:tcBorders>
              <w:top w:val="single" w:sz="6" w:space="0" w:color="000000"/>
              <w:left w:val="single" w:sz="6" w:space="0" w:color="000000"/>
              <w:bottom w:val="single" w:sz="6" w:space="0" w:color="000000"/>
              <w:right w:val="single" w:sz="6" w:space="0" w:color="000000"/>
            </w:tcBorders>
          </w:tcPr>
          <w:p>
            <w:pPr>
              <w:pStyle w:val="Normal"/>
              <w:ind w:hanging="34"/>
              <w:jc w:val="center"/>
              <w:rPr>
                <w:rFonts w:eastAsia="Calibri"/>
                <w:lang w:eastAsia="en-US"/>
              </w:rPr>
            </w:pPr>
            <w:r>
              <w:rPr>
                <w:rFonts w:eastAsia="Calibri"/>
                <w:lang w:eastAsia="en-US"/>
              </w:rPr>
              <w:t>Модуль ДПП (М)</w:t>
            </w:r>
          </w:p>
          <w:p>
            <w:pPr>
              <w:pStyle w:val="Normal"/>
              <w:ind w:hanging="34"/>
              <w:jc w:val="center"/>
              <w:rPr>
                <w:rFonts w:eastAsia="Calibri"/>
                <w:color w:val="000000"/>
                <w:lang w:eastAsia="en-US"/>
              </w:rPr>
            </w:pPr>
            <w:r>
              <w:rPr>
                <w:rFonts w:eastAsia="Calibri"/>
                <w:color w:val="000000"/>
                <w:lang w:eastAsia="en-US"/>
              </w:rPr>
            </w:r>
          </w:p>
        </w:tc>
        <w:tc>
          <w:tcPr>
            <w:tcW w:w="2693" w:type="dxa"/>
            <w:tcBorders>
              <w:top w:val="single" w:sz="6" w:space="0" w:color="000000"/>
              <w:left w:val="single" w:sz="6" w:space="0" w:color="000000"/>
              <w:bottom w:val="single" w:sz="4" w:space="0" w:color="000000"/>
              <w:right w:val="single" w:sz="6" w:space="0" w:color="000000"/>
            </w:tcBorders>
          </w:tcPr>
          <w:p>
            <w:pPr>
              <w:pStyle w:val="Normal"/>
              <w:ind w:firstLine="390"/>
              <w:jc w:val="center"/>
              <w:rPr>
                <w:rFonts w:eastAsia="Calibri"/>
                <w:color w:val="000000"/>
                <w:lang w:eastAsia="en-US"/>
              </w:rPr>
            </w:pPr>
            <w:r>
              <w:rPr>
                <w:rFonts w:eastAsia="Calibri"/>
                <w:color w:val="000000"/>
                <w:lang w:eastAsia="en-US"/>
              </w:rPr>
              <w:t xml:space="preserve">Задачи профессиональной деятельности (ЗПД) </w:t>
            </w:r>
          </w:p>
        </w:tc>
        <w:tc>
          <w:tcPr>
            <w:tcW w:w="4051" w:type="dxa"/>
            <w:gridSpan w:val="2"/>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Профессиональные компетенции (ПК), подлежащие развитию</w:t>
            </w:r>
          </w:p>
        </w:tc>
        <w:tc>
          <w:tcPr>
            <w:tcW w:w="69" w:type="dxa"/>
            <w:gridSpan w:val="3"/>
            <w:tcBorders/>
            <w:tcMar>
              <w:top w:w="0" w:type="dxa"/>
              <w:left w:w="0" w:type="dxa"/>
              <w:bottom w:w="0" w:type="dxa"/>
              <w:right w:w="0" w:type="dxa"/>
            </w:tcMar>
          </w:tcPr>
          <w:p>
            <w:pPr>
              <w:pStyle w:val="Normal"/>
              <w:snapToGrid w:val="false"/>
              <w:rPr>
                <w:rFonts w:ascii="Calibri" w:hAnsi="Calibri" w:eastAsia="Calibri" w:cs="Calibri"/>
                <w:color w:val="000000"/>
                <w:lang w:eastAsia="en-US"/>
              </w:rPr>
            </w:pPr>
            <w:r>
              <w:rPr>
                <w:rFonts w:eastAsia="Calibri" w:cs="Calibri" w:ascii="Calibri" w:hAnsi="Calibri"/>
                <w:color w:val="000000"/>
                <w:lang w:eastAsia="en-US"/>
              </w:rPr>
            </w:r>
          </w:p>
        </w:tc>
      </w:tr>
      <w:tr>
        <w:trPr>
          <w:trHeight w:val="1676" w:hRule="atLeast"/>
        </w:trPr>
        <w:tc>
          <w:tcPr>
            <w:tcW w:w="2632" w:type="dxa"/>
            <w:tcBorders>
              <w:left w:val="single" w:sz="6" w:space="0" w:color="000000"/>
              <w:right w:val="single" w:sz="4" w:space="0" w:color="000000"/>
            </w:tcBorders>
            <w:tcMar>
              <w:top w:w="0" w:type="dxa"/>
              <w:left w:w="0" w:type="dxa"/>
              <w:bottom w:w="0" w:type="dxa"/>
              <w:right w:w="0" w:type="dxa"/>
            </w:tcMar>
          </w:tcPr>
          <w:p>
            <w:pPr>
              <w:pStyle w:val="Normal"/>
              <w:ind w:firstLine="142"/>
              <w:rPr>
                <w:rFonts w:eastAsia="Calibri"/>
                <w:color w:val="000000"/>
                <w:lang w:eastAsia="en-US"/>
              </w:rPr>
            </w:pPr>
            <w:r>
              <w:rPr>
                <w:rFonts w:eastAsia="Calibri"/>
                <w:b/>
                <w:color w:val="000000"/>
                <w:lang w:eastAsia="en-US"/>
              </w:rPr>
              <w:t>М 1</w:t>
            </w:r>
            <w:r>
              <w:rPr/>
              <w:t xml:space="preserve"> Профессиональная компетентность педагога ГОУ в работе с детьми с особыми образовательными потребностями</w:t>
            </w:r>
          </w:p>
        </w:tc>
        <w:tc>
          <w:tcPr>
            <w:tcW w:w="2693" w:type="dxa"/>
            <w:tcBorders>
              <w:left w:val="single" w:sz="4" w:space="0" w:color="000000"/>
              <w:bottom w:val="single" w:sz="4" w:space="0" w:color="000000"/>
              <w:right w:val="single" w:sz="4" w:space="0" w:color="000000"/>
            </w:tcBorders>
          </w:tcPr>
          <w:p>
            <w:pPr>
              <w:pStyle w:val="Normal"/>
              <w:spacing w:before="0" w:after="0"/>
              <w:ind w:firstLine="142"/>
              <w:contextualSpacing/>
              <w:rPr>
                <w:rFonts w:eastAsia="Calibri"/>
                <w:color w:val="000000"/>
                <w:sz w:val="20"/>
                <w:szCs w:val="20"/>
              </w:rPr>
            </w:pPr>
            <w:r>
              <w:rPr>
                <w:rFonts w:eastAsia="Calibri"/>
                <w:b/>
                <w:color w:val="000000"/>
              </w:rPr>
              <w:t>ЗПД 1</w:t>
            </w:r>
            <w:r>
              <w:rPr>
                <w:rFonts w:eastAsia="Calibri"/>
              </w:rPr>
              <w:t xml:space="preserve"> Оценка параметров и проектирование психологически безопасной и комфортной образовательной среды </w:t>
            </w:r>
          </w:p>
        </w:tc>
        <w:tc>
          <w:tcPr>
            <w:tcW w:w="4051" w:type="dxa"/>
            <w:gridSpan w:val="2"/>
            <w:tcBorders>
              <w:top w:val="single" w:sz="6" w:space="0" w:color="000000"/>
              <w:left w:val="single" w:sz="4" w:space="0" w:color="000000"/>
              <w:right w:val="single" w:sz="6" w:space="0" w:color="000000"/>
            </w:tcBorders>
          </w:tcPr>
          <w:p>
            <w:pPr>
              <w:pStyle w:val="Normal"/>
              <w:ind w:firstLine="142"/>
              <w:rPr>
                <w:rFonts w:eastAsia="Calibri"/>
                <w:color w:val="000000"/>
                <w:lang w:eastAsia="en-US"/>
              </w:rPr>
            </w:pPr>
            <w:r>
              <w:rPr>
                <w:rFonts w:eastAsia="Calibri"/>
                <w:b/>
                <w:lang w:eastAsia="en-US"/>
              </w:rPr>
              <w:t>ПК 1</w:t>
            </w:r>
            <w:r>
              <w:rPr>
                <w:rFonts w:eastAsia="Calibri"/>
                <w:lang w:eastAsia="en-US"/>
              </w:rPr>
              <w:t xml:space="preserve"> Готовность осуществлять оценку параметров и проектирование психологически безопасной и комфортной образовательной среды</w:t>
            </w:r>
          </w:p>
        </w:tc>
        <w:tc>
          <w:tcPr>
            <w:tcW w:w="69" w:type="dxa"/>
            <w:gridSpan w:val="3"/>
            <w:tcBorders/>
            <w:tcMar>
              <w:top w:w="0" w:type="dxa"/>
              <w:left w:w="0" w:type="dxa"/>
              <w:bottom w:w="0" w:type="dxa"/>
              <w:right w:w="0" w:type="dxa"/>
            </w:tcMar>
          </w:tcPr>
          <w:p>
            <w:pPr>
              <w:pStyle w:val="Normal"/>
              <w:snapToGrid w:val="false"/>
              <w:rPr>
                <w:rFonts w:ascii="Calibri" w:hAnsi="Calibri" w:eastAsia="Calibri" w:cs="Calibri"/>
                <w:color w:val="000000"/>
                <w:lang w:eastAsia="en-US"/>
              </w:rPr>
            </w:pPr>
            <w:r>
              <w:rPr>
                <w:rFonts w:eastAsia="Calibri" w:cs="Calibri" w:ascii="Calibri" w:hAnsi="Calibri"/>
                <w:color w:val="000000"/>
                <w:lang w:eastAsia="en-US"/>
              </w:rPr>
            </w:r>
          </w:p>
        </w:tc>
      </w:tr>
      <w:tr>
        <w:trPr>
          <w:trHeight w:val="2241" w:hRule="atLeast"/>
        </w:trPr>
        <w:tc>
          <w:tcPr>
            <w:tcW w:w="2632"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tcPr>
          <w:p>
            <w:pPr>
              <w:pStyle w:val="Normal"/>
              <w:ind w:firstLine="142"/>
              <w:rPr>
                <w:rFonts w:eastAsia="Calibri"/>
                <w:color w:val="000000"/>
                <w:lang w:eastAsia="en-US"/>
              </w:rPr>
            </w:pPr>
            <w:r>
              <w:rPr>
                <w:rFonts w:eastAsia="Calibri"/>
                <w:b/>
                <w:color w:val="000000"/>
                <w:lang w:eastAsia="en-US"/>
              </w:rPr>
              <w:t>М 2</w:t>
            </w:r>
            <w:r>
              <w:rPr/>
              <w:t xml:space="preserve"> Научно-теоретические подходы к обучению и воспитанию детей с СДВГ</w:t>
            </w:r>
          </w:p>
        </w:tc>
        <w:tc>
          <w:tcPr>
            <w:tcW w:w="2693" w:type="dxa"/>
            <w:tcBorders>
              <w:left w:val="single" w:sz="4" w:space="0" w:color="000000"/>
              <w:bottom w:val="single" w:sz="4" w:space="0" w:color="000000"/>
              <w:right w:val="single" w:sz="4" w:space="0" w:color="000000"/>
            </w:tcBorders>
          </w:tcPr>
          <w:p>
            <w:pPr>
              <w:pStyle w:val="Normal"/>
              <w:spacing w:before="0" w:after="0"/>
              <w:ind w:firstLine="142"/>
              <w:contextualSpacing/>
              <w:rPr>
                <w:rFonts w:eastAsia="Calibri"/>
                <w:color w:val="000000"/>
              </w:rPr>
            </w:pPr>
            <w:r>
              <w:rPr>
                <w:rFonts w:eastAsia="Calibri"/>
                <w:b/>
                <w:color w:val="000000"/>
              </w:rPr>
              <w:t>ЗПД 2</w:t>
            </w:r>
            <w:r>
              <w:rPr>
                <w:rFonts w:eastAsia="Calibri"/>
              </w:rPr>
              <w:t xml:space="preserve">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 </w:t>
            </w:r>
          </w:p>
        </w:tc>
        <w:tc>
          <w:tcPr>
            <w:tcW w:w="4051" w:type="dxa"/>
            <w:gridSpan w:val="2"/>
            <w:tcBorders>
              <w:top w:val="single" w:sz="6" w:space="0" w:color="000000"/>
              <w:left w:val="single" w:sz="4" w:space="0" w:color="000000"/>
              <w:bottom w:val="single" w:sz="6" w:space="0" w:color="000000"/>
              <w:right w:val="single" w:sz="6" w:space="0" w:color="000000"/>
            </w:tcBorders>
          </w:tcPr>
          <w:p>
            <w:pPr>
              <w:pStyle w:val="Normal"/>
              <w:ind w:firstLine="142"/>
              <w:rPr>
                <w:rFonts w:eastAsia="Calibri"/>
                <w:color w:val="000000"/>
                <w:lang w:eastAsia="en-US"/>
              </w:rPr>
            </w:pPr>
            <w:r>
              <w:rPr>
                <w:rFonts w:eastAsia="Calibri"/>
                <w:b/>
                <w:lang w:eastAsia="en-US"/>
              </w:rPr>
              <w:t>ПК 2</w:t>
            </w:r>
            <w:r>
              <w:rPr>
                <w:rFonts w:eastAsia="Calibri"/>
                <w:lang w:eastAsia="en-US"/>
              </w:rPr>
              <w:t xml:space="preserve"> Готовность осуществлять разработку (совместно с другими специалистами) и реализацию совместно с родителями (законными представителями) программ индивидуального развития ребенка</w:t>
            </w:r>
          </w:p>
        </w:tc>
        <w:tc>
          <w:tcPr>
            <w:tcW w:w="69" w:type="dxa"/>
            <w:gridSpan w:val="3"/>
            <w:tcBorders/>
            <w:tcMar>
              <w:top w:w="0" w:type="dxa"/>
              <w:left w:w="0" w:type="dxa"/>
              <w:bottom w:w="0" w:type="dxa"/>
              <w:right w:w="0" w:type="dxa"/>
            </w:tcMar>
          </w:tcPr>
          <w:p>
            <w:pPr>
              <w:pStyle w:val="Normal"/>
              <w:snapToGrid w:val="false"/>
              <w:rPr>
                <w:rFonts w:ascii="Calibri" w:hAnsi="Calibri" w:eastAsia="Calibri" w:cs="Calibri"/>
                <w:color w:val="000000"/>
                <w:lang w:eastAsia="en-US"/>
              </w:rPr>
            </w:pPr>
            <w:r>
              <w:rPr>
                <w:rFonts w:eastAsia="Calibri" w:cs="Calibri" w:ascii="Calibri" w:hAnsi="Calibri"/>
                <w:color w:val="000000"/>
                <w:lang w:eastAsia="en-US"/>
              </w:rPr>
            </w:r>
          </w:p>
        </w:tc>
      </w:tr>
      <w:tr>
        <w:trPr>
          <w:trHeight w:val="3354" w:hRule="atLeast"/>
        </w:trPr>
        <w:tc>
          <w:tcPr>
            <w:tcW w:w="2632" w:type="dxa"/>
            <w:tcBorders>
              <w:left w:val="single" w:sz="6" w:space="0" w:color="000000"/>
              <w:bottom w:val="single" w:sz="6" w:space="0" w:color="000000"/>
              <w:right w:val="single" w:sz="4" w:space="0" w:color="000000"/>
            </w:tcBorders>
            <w:tcMar>
              <w:top w:w="0" w:type="dxa"/>
              <w:left w:w="0" w:type="dxa"/>
              <w:bottom w:w="0" w:type="dxa"/>
              <w:right w:w="0" w:type="dxa"/>
            </w:tcMar>
          </w:tcPr>
          <w:p>
            <w:pPr>
              <w:pStyle w:val="Normal"/>
              <w:ind w:firstLine="142"/>
              <w:rPr/>
            </w:pPr>
            <w:r>
              <w:rPr>
                <w:rFonts w:eastAsia="Calibri"/>
                <w:b/>
                <w:color w:val="000000"/>
                <w:lang w:eastAsia="en-US"/>
              </w:rPr>
              <w:t>М 3</w:t>
            </w:r>
            <w:r>
              <w:rPr/>
              <w:t xml:space="preserve"> Технологии п</w:t>
            </w:r>
            <w:r>
              <w:rPr>
                <w:rFonts w:eastAsia="Calibri"/>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w:t>
            </w:r>
          </w:p>
          <w:p>
            <w:pPr>
              <w:pStyle w:val="Normal"/>
              <w:ind w:firstLine="142"/>
              <w:rPr>
                <w:rFonts w:eastAsia="Calibri"/>
                <w:lang w:eastAsia="en-US"/>
              </w:rPr>
            </w:pPr>
            <w:r>
              <w:rPr>
                <w:rFonts w:eastAsia="Calibri"/>
                <w:lang w:eastAsia="en-US"/>
              </w:rPr>
            </w:r>
          </w:p>
          <w:p>
            <w:pPr>
              <w:pStyle w:val="Normal"/>
              <w:ind w:firstLine="142"/>
              <w:rPr>
                <w:rFonts w:eastAsia="Calibri"/>
                <w:color w:val="000000"/>
                <w:lang w:eastAsia="en-US"/>
              </w:rPr>
            </w:pPr>
            <w:r>
              <w:rPr>
                <w:rFonts w:eastAsia="Calibri"/>
                <w:color w:val="000000"/>
                <w:lang w:eastAsia="en-US"/>
              </w:rPr>
            </w:r>
          </w:p>
        </w:tc>
        <w:tc>
          <w:tcPr>
            <w:tcW w:w="2693" w:type="dxa"/>
            <w:tcBorders>
              <w:left w:val="single" w:sz="4" w:space="0" w:color="000000"/>
              <w:bottom w:val="single" w:sz="4" w:space="0" w:color="000000"/>
              <w:right w:val="single" w:sz="4" w:space="0" w:color="000000"/>
            </w:tcBorders>
          </w:tcPr>
          <w:p>
            <w:pPr>
              <w:pStyle w:val="Normal"/>
              <w:ind w:firstLine="142"/>
              <w:rPr>
                <w:rFonts w:eastAsia="Calibri"/>
                <w:color w:val="000000"/>
                <w:lang w:eastAsia="en-US"/>
              </w:rPr>
            </w:pPr>
            <w:r>
              <w:rPr>
                <w:rFonts w:eastAsia="Calibri"/>
                <w:b/>
                <w:color w:val="000000"/>
                <w:lang w:eastAsia="en-US"/>
              </w:rPr>
              <w:t>ЗПД 3</w:t>
            </w:r>
            <w:r>
              <w:rPr>
                <w:rFonts w:eastAsia="Calibri"/>
                <w:color w:val="000000"/>
                <w:lang w:eastAsia="en-US"/>
              </w:rPr>
              <w:t xml:space="preserve"> </w:t>
            </w:r>
            <w:r>
              <w:rPr>
                <w:rFonts w:eastAsia="Calibri"/>
                <w:lang w:eastAsia="en-US"/>
              </w:rPr>
              <w:t>Освоение и применение психолого-педагогических технологий (в том числе инклюзивных), необходимых для адресной работы с детьми с особыми образовательными потребностями (дети с синдромом дефицита внимания и гиперактивностью)</w:t>
            </w:r>
          </w:p>
        </w:tc>
        <w:tc>
          <w:tcPr>
            <w:tcW w:w="4051" w:type="dxa"/>
            <w:gridSpan w:val="2"/>
            <w:tcBorders>
              <w:top w:val="single" w:sz="6" w:space="0" w:color="000000"/>
              <w:left w:val="single" w:sz="4" w:space="0" w:color="000000"/>
              <w:bottom w:val="single" w:sz="6" w:space="0" w:color="000000"/>
              <w:right w:val="single" w:sz="6" w:space="0" w:color="000000"/>
            </w:tcBorders>
          </w:tcPr>
          <w:p>
            <w:pPr>
              <w:pStyle w:val="Normal"/>
              <w:spacing w:before="0" w:after="0"/>
              <w:ind w:firstLine="142"/>
              <w:contextualSpacing/>
              <w:rPr>
                <w:rFonts w:eastAsia="Calibri"/>
                <w:color w:val="000000"/>
              </w:rPr>
            </w:pPr>
            <w:r>
              <w:rPr>
                <w:rFonts w:eastAsia="Calibri"/>
                <w:b/>
              </w:rPr>
              <w:t>ПК 3</w:t>
            </w:r>
            <w:r>
              <w:rPr>
                <w:rFonts w:eastAsia="Calibri"/>
              </w:rPr>
              <w:t xml:space="preserve"> Готовность применять психолого-педагогические технологии (в том числе инклюзивные), необходимых для адресной работы с детьми с особыми образовательными потребностями (дети с синдромом дефицита внимания и гиперактивностью)</w:t>
            </w:r>
          </w:p>
        </w:tc>
        <w:tc>
          <w:tcPr>
            <w:tcW w:w="69" w:type="dxa"/>
            <w:gridSpan w:val="3"/>
            <w:tcBorders/>
            <w:tcMar>
              <w:top w:w="0" w:type="dxa"/>
              <w:left w:w="0" w:type="dxa"/>
              <w:bottom w:w="0" w:type="dxa"/>
              <w:right w:w="0" w:type="dxa"/>
            </w:tcMar>
          </w:tcPr>
          <w:p>
            <w:pPr>
              <w:pStyle w:val="Normal"/>
              <w:snapToGrid w:val="false"/>
              <w:rPr>
                <w:rFonts w:ascii="Calibri" w:hAnsi="Calibri" w:eastAsia="Calibri" w:cs="Calibri"/>
                <w:color w:val="000000"/>
                <w:lang w:eastAsia="en-US"/>
              </w:rPr>
            </w:pPr>
            <w:r>
              <w:rPr>
                <w:rFonts w:eastAsia="Calibri" w:cs="Calibri" w:ascii="Calibri" w:hAnsi="Calibri"/>
                <w:color w:val="000000"/>
                <w:lang w:eastAsia="en-US"/>
              </w:rPr>
            </w:r>
          </w:p>
        </w:tc>
      </w:tr>
      <w:tr>
        <w:trPr>
          <w:trHeight w:val="300" w:hRule="atLeast"/>
        </w:trPr>
        <w:tc>
          <w:tcPr>
            <w:tcW w:w="9361" w:type="dxa"/>
            <w:gridSpan w:val="3"/>
            <w:tcBorders>
              <w:top w:val="single" w:sz="6" w:space="0" w:color="000000"/>
              <w:left w:val="single" w:sz="6" w:space="0" w:color="000000"/>
              <w:bottom w:val="single" w:sz="6" w:space="0" w:color="000000"/>
            </w:tcBorders>
            <w:vAlign w:val="center"/>
          </w:tcPr>
          <w:p>
            <w:pPr>
              <w:pStyle w:val="Normal"/>
              <w:rPr>
                <w:rFonts w:eastAsia="Calibri"/>
                <w:color w:val="000000"/>
                <w:lang w:eastAsia="en-US"/>
              </w:rPr>
            </w:pPr>
            <w:r>
              <w:rPr>
                <w:rFonts w:eastAsia="Calibri"/>
                <w:color w:val="000000"/>
                <w:lang w:eastAsia="en-US"/>
              </w:rPr>
              <w:t xml:space="preserve">Общепрофессиональные компетенции (ОПК) и (или) общие (общекультурные) компетенции (ОК), </w:t>
            </w:r>
            <w:r>
              <w:rPr>
                <w:rFonts w:eastAsia="Calibri"/>
                <w:lang w:eastAsia="en-US"/>
              </w:rPr>
              <w:t>подлежащие развитию в течение всего процесса обучения:</w:t>
            </w:r>
          </w:p>
          <w:p>
            <w:pPr>
              <w:pStyle w:val="Normal"/>
              <w:rPr>
                <w:rFonts w:eastAsia="Calibri"/>
                <w:lang w:eastAsia="en-US"/>
              </w:rPr>
            </w:pPr>
            <w:r>
              <w:rPr>
                <w:rFonts w:eastAsia="Calibri"/>
                <w:lang w:eastAsia="en-US"/>
              </w:rPr>
              <w:t>Способность работать в команде, толерантно воспринимать социальные, культурные и личностные различия.</w:t>
            </w:r>
          </w:p>
          <w:p>
            <w:pPr>
              <w:pStyle w:val="Normal"/>
              <w:rPr>
                <w:rFonts w:eastAsia="Calibri"/>
                <w:lang w:eastAsia="en-US"/>
              </w:rPr>
            </w:pPr>
            <w:r>
              <w:rPr>
                <w:rFonts w:eastAsia="Calibri"/>
                <w:lang w:eastAsia="en-US"/>
              </w:rPr>
              <w:t>Способность к самоорганизации и самообразованию.</w:t>
            </w:r>
          </w:p>
          <w:p>
            <w:pPr>
              <w:pStyle w:val="Normal"/>
              <w:rPr>
                <w:rFonts w:eastAsia="Calibri"/>
                <w:color w:val="000000"/>
                <w:lang w:eastAsia="en-US"/>
              </w:rPr>
            </w:pPr>
            <w:r>
              <w:rPr>
                <w:rFonts w:eastAsia="Calibri"/>
                <w:color w:val="000000"/>
                <w:lang w:eastAsia="en-US"/>
              </w:rPr>
              <w:t>Владение навыками эффективной коммуникации и сотрудничества.</w:t>
            </w:r>
          </w:p>
        </w:tc>
        <w:tc>
          <w:tcPr>
            <w:tcW w:w="23" w:type="dxa"/>
            <w:gridSpan w:val="2"/>
            <w:tcBorders>
              <w:bottom w:val="single" w:sz="6" w:space="0" w:color="000000"/>
            </w:tcBorders>
            <w:tcMar>
              <w:top w:w="0" w:type="dxa"/>
              <w:left w:w="0" w:type="dxa"/>
              <w:bottom w:w="0" w:type="dxa"/>
              <w:right w:w="0" w:type="dxa"/>
            </w:tcMar>
          </w:tcPr>
          <w:p>
            <w:pPr>
              <w:pStyle w:val="Normal"/>
              <w:snapToGrid w:val="false"/>
              <w:ind w:firstLine="390"/>
              <w:jc w:val="center"/>
              <w:rPr>
                <w:rFonts w:eastAsia="Calibri"/>
                <w:color w:val="000000"/>
                <w:lang w:eastAsia="en-US"/>
              </w:rPr>
            </w:pPr>
            <w:r>
              <w:rPr>
                <w:rFonts w:eastAsia="Calibri"/>
                <w:color w:val="000000"/>
                <w:lang w:eastAsia="en-US"/>
              </w:rPr>
            </w:r>
          </w:p>
        </w:tc>
        <w:tc>
          <w:tcPr>
            <w:tcW w:w="23" w:type="dxa"/>
            <w:tcBorders>
              <w:bottom w:val="single" w:sz="6" w:space="0" w:color="000000"/>
            </w:tcBorders>
            <w:tcMar>
              <w:top w:w="0" w:type="dxa"/>
              <w:left w:w="0" w:type="dxa"/>
              <w:bottom w:w="0" w:type="dxa"/>
              <w:right w:w="0" w:type="dxa"/>
            </w:tcMar>
            <w:vAlign w:val="center"/>
          </w:tcPr>
          <w:p>
            <w:pPr>
              <w:pStyle w:val="Normal"/>
              <w:snapToGrid w:val="false"/>
              <w:rPr>
                <w:rFonts w:eastAsia="Calibri"/>
                <w:color w:val="000000"/>
                <w:lang w:eastAsia="en-US"/>
              </w:rPr>
            </w:pPr>
            <w:r>
              <w:rPr>
                <w:rFonts w:eastAsia="Calibri"/>
                <w:color w:val="000000"/>
                <w:lang w:eastAsia="en-US"/>
              </w:rPr>
            </w:r>
          </w:p>
        </w:tc>
        <w:tc>
          <w:tcPr>
            <w:tcW w:w="38" w:type="dxa"/>
            <w:tcBorders>
              <w:bottom w:val="single" w:sz="6" w:space="0" w:color="000000"/>
              <w:right w:val="single" w:sz="6" w:space="0" w:color="000000"/>
            </w:tcBorders>
            <w:tcMar>
              <w:top w:w="0" w:type="dxa"/>
              <w:left w:w="0" w:type="dxa"/>
              <w:bottom w:w="0" w:type="dxa"/>
              <w:right w:w="0" w:type="dxa"/>
            </w:tcMar>
          </w:tcPr>
          <w:p>
            <w:pPr>
              <w:pStyle w:val="Normal"/>
              <w:snapToGrid w:val="false"/>
              <w:ind w:firstLine="390"/>
              <w:rPr>
                <w:rFonts w:eastAsia="Calibri"/>
                <w:color w:val="000000"/>
                <w:lang w:eastAsia="en-US"/>
              </w:rPr>
            </w:pPr>
            <w:r>
              <w:rPr>
                <w:rFonts w:eastAsia="Calibri"/>
                <w:color w:val="000000"/>
                <w:lang w:eastAsia="en-US"/>
              </w:rPr>
            </w:r>
          </w:p>
        </w:tc>
      </w:tr>
    </w:tbl>
    <w:p>
      <w:pPr>
        <w:pStyle w:val="Normal"/>
        <w:tabs>
          <w:tab w:val="clear" w:pos="708"/>
          <w:tab w:val="left" w:pos="720" w:leader="none"/>
        </w:tabs>
        <w:spacing w:lineRule="auto" w:line="357"/>
        <w:ind w:right="76" w:firstLine="567"/>
        <w:jc w:val="both"/>
        <w:rPr>
          <w:sz w:val="24"/>
        </w:rPr>
      </w:pPr>
      <w:r>
        <w:rPr>
          <w:sz w:val="24"/>
        </w:rPr>
      </w:r>
    </w:p>
    <w:p>
      <w:pPr>
        <w:pStyle w:val="Normal"/>
        <w:spacing w:lineRule="auto" w:line="360"/>
        <w:ind w:firstLine="567"/>
        <w:jc w:val="both"/>
        <w:rPr>
          <w:rFonts w:eastAsia="Calibri"/>
          <w:sz w:val="24"/>
          <w:szCs w:val="24"/>
          <w:lang w:eastAsia="en-US"/>
        </w:rPr>
      </w:pPr>
      <w:r>
        <w:rPr>
          <w:rFonts w:eastAsia="Calibri"/>
          <w:sz w:val="24"/>
          <w:szCs w:val="24"/>
          <w:lang w:eastAsia="en-US"/>
        </w:rPr>
        <w:t>Итоговая аттестация по программе «Проектирование педагогических условий для преодоления синдрома дефицита внимания и гиперактивности у обучающихся в образовательном процессе» осуществляется в форме защиты выпускной аттестационной работы (портфолио). Объект, предмет и содержание портфолио должны соответствовать целям и содержанию программы повышения квалификации.</w:t>
      </w:r>
    </w:p>
    <w:p>
      <w:pPr>
        <w:pStyle w:val="Normal"/>
        <w:spacing w:lineRule="auto" w:line="360"/>
        <w:ind w:firstLine="567"/>
        <w:jc w:val="both"/>
        <w:rPr/>
      </w:pPr>
      <w:r>
        <w:rPr>
          <w:rFonts w:eastAsia="Calibri"/>
          <w:color w:val="000000"/>
          <w:sz w:val="24"/>
          <w:szCs w:val="24"/>
          <w:lang w:eastAsia="en-US"/>
        </w:rPr>
        <w:t>Процедура оценивания представляет собой публичную презентацию портфолио, п</w:t>
      </w:r>
      <w:r>
        <w:rPr>
          <w:rFonts w:eastAsia="Calibri"/>
          <w:sz w:val="24"/>
          <w:szCs w:val="24"/>
          <w:lang w:eastAsia="en-US"/>
        </w:rPr>
        <w:t>римерное время сообщения 7 - 10 минут.</w:t>
      </w:r>
    </w:p>
    <w:p>
      <w:pPr>
        <w:pStyle w:val="Normal"/>
        <w:spacing w:lineRule="auto" w:line="360"/>
        <w:ind w:firstLine="567"/>
        <w:jc w:val="both"/>
        <w:rPr>
          <w:rFonts w:eastAsia="Calibri"/>
          <w:sz w:val="24"/>
          <w:szCs w:val="24"/>
          <w:lang w:eastAsia="en-US"/>
        </w:rPr>
      </w:pPr>
      <w:r>
        <w:rPr>
          <w:rFonts w:eastAsia="Calibri"/>
          <w:sz w:val="24"/>
          <w:szCs w:val="24"/>
          <w:lang w:eastAsia="en-US"/>
        </w:rPr>
        <w:t>Итоговый контроль является дифференцированным и подразумевает обязательную оценку: «отлично», «хорошо», «удовлетворительно», «неудовлетворительно».</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eastAsia="Calibri"/>
          <w:color w:val="000000"/>
          <w:sz w:val="24"/>
          <w:szCs w:val="24"/>
          <w:lang w:eastAsia="en-US"/>
        </w:rPr>
      </w:pPr>
      <w:r>
        <w:rPr>
          <w:rFonts w:eastAsia="Calibri"/>
          <w:color w:val="000000"/>
          <w:sz w:val="24"/>
          <w:szCs w:val="24"/>
          <w:lang w:eastAsia="en-US"/>
        </w:rPr>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rFonts w:eastAsia="Calibri"/>
          <w:color w:val="000000"/>
          <w:sz w:val="24"/>
          <w:szCs w:val="24"/>
          <w:lang w:eastAsia="en-US"/>
        </w:rPr>
      </w:pPr>
      <w:r>
        <w:rPr>
          <w:rFonts w:eastAsia="Calibri"/>
          <w:color w:val="000000"/>
          <w:sz w:val="24"/>
          <w:szCs w:val="24"/>
          <w:lang w:eastAsia="en-US"/>
        </w:rPr>
        <w:t>ПАСПОРТ ОЦЕНОЧНОГО СРЕДСТВА</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rFonts w:eastAsia="Calibri"/>
          <w:color w:val="000000"/>
          <w:sz w:val="24"/>
          <w:szCs w:val="24"/>
          <w:lang w:eastAsia="en-US"/>
        </w:rPr>
      </w:pPr>
      <w:r>
        <w:rPr>
          <w:rFonts w:eastAsia="Calibri"/>
          <w:color w:val="000000"/>
          <w:sz w:val="24"/>
          <w:szCs w:val="24"/>
          <w:lang w:eastAsia="en-US"/>
        </w:rPr>
        <w:t>ПОДГОТОВКА И ЗАЩИТА ВЫПУСКНОЙ АТТЕСТАЦИОННОЙ РАБОТЫ</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rFonts w:eastAsia="Calibri"/>
          <w:color w:val="000000"/>
          <w:sz w:val="24"/>
          <w:szCs w:val="24"/>
          <w:lang w:eastAsia="en-US"/>
        </w:rPr>
      </w:pPr>
      <w:r>
        <w:rPr>
          <w:rFonts w:eastAsia="Calibri"/>
          <w:color w:val="000000"/>
          <w:sz w:val="24"/>
          <w:szCs w:val="24"/>
          <w:lang w:eastAsia="en-US"/>
        </w:rPr>
      </w:r>
    </w:p>
    <w:tbl>
      <w:tblPr>
        <w:tblW w:w="9451" w:type="dxa"/>
        <w:jc w:val="left"/>
        <w:tblInd w:w="-94" w:type="dxa"/>
        <w:tblLayout w:type="fixed"/>
        <w:tblCellMar>
          <w:top w:w="0" w:type="dxa"/>
          <w:left w:w="0" w:type="dxa"/>
          <w:bottom w:w="0" w:type="dxa"/>
          <w:right w:w="0" w:type="dxa"/>
        </w:tblCellMar>
      </w:tblPr>
      <w:tblGrid>
        <w:gridCol w:w="2065"/>
        <w:gridCol w:w="1417"/>
        <w:gridCol w:w="142"/>
        <w:gridCol w:w="3260"/>
        <w:gridCol w:w="2567"/>
      </w:tblGrid>
      <w:tr>
        <w:trPr>
          <w:trHeight w:val="300" w:hRule="atLeast"/>
        </w:trPr>
        <w:tc>
          <w:tcPr>
            <w:tcW w:w="9451" w:type="dxa"/>
            <w:gridSpan w:val="5"/>
            <w:tcBorders>
              <w:top w:val="single" w:sz="6" w:space="0" w:color="000000"/>
              <w:left w:val="single" w:sz="6" w:space="0" w:color="000000"/>
              <w:bottom w:val="single" w:sz="6" w:space="0" w:color="000000"/>
              <w:right w:val="single" w:sz="6" w:space="0" w:color="000000"/>
            </w:tcBorders>
          </w:tcPr>
          <w:p>
            <w:pPr>
              <w:pStyle w:val="Normal"/>
              <w:ind w:firstLine="567"/>
              <w:rPr>
                <w:rFonts w:eastAsia="Calibri"/>
                <w:b/>
                <w:b/>
                <w:color w:val="000000"/>
                <w:lang w:eastAsia="en-US"/>
              </w:rPr>
            </w:pPr>
            <w:r>
              <w:rPr>
                <w:rFonts w:eastAsia="Calibri"/>
                <w:b/>
                <w:color w:val="000000"/>
                <w:lang w:eastAsia="en-US"/>
              </w:rPr>
              <w:t>Примерная тематика:</w:t>
            </w:r>
          </w:p>
          <w:p>
            <w:pPr>
              <w:pStyle w:val="Normal"/>
              <w:numPr>
                <w:ilvl w:val="0"/>
                <w:numId w:val="12"/>
              </w:numPr>
              <w:tabs>
                <w:tab w:val="clear" w:pos="708"/>
                <w:tab w:val="left" w:pos="720" w:leader="none"/>
                <w:tab w:val="left" w:pos="888" w:leader="none"/>
              </w:tabs>
              <w:spacing w:before="0" w:after="0"/>
              <w:ind w:left="0" w:firstLine="567"/>
              <w:contextualSpacing/>
              <w:rPr>
                <w:rFonts w:eastAsia="Calibri"/>
              </w:rPr>
            </w:pPr>
            <w:r>
              <w:rPr>
                <w:rFonts w:eastAsia="Calibri"/>
                <w:color w:val="000000"/>
              </w:rPr>
              <w:t>Психофизиологические особенности детей с СДВГ, этиология и патогенез заболевания</w:t>
            </w:r>
            <w:r>
              <w:rPr>
                <w:rFonts w:eastAsia="Calibri"/>
                <w:color w:val="333333"/>
                <w:highlight w:val="yellow"/>
                <w:shd w:fill="FFFFFF" w:val="clear"/>
              </w:rPr>
              <w:t xml:space="preserve"> </w:t>
            </w:r>
          </w:p>
          <w:p>
            <w:pPr>
              <w:pStyle w:val="Normal"/>
              <w:numPr>
                <w:ilvl w:val="0"/>
                <w:numId w:val="12"/>
              </w:numPr>
              <w:tabs>
                <w:tab w:val="clear" w:pos="708"/>
                <w:tab w:val="left" w:pos="720" w:leader="none"/>
                <w:tab w:val="left" w:pos="888" w:leader="none"/>
              </w:tabs>
              <w:spacing w:before="0" w:after="0"/>
              <w:ind w:left="0" w:firstLine="567"/>
              <w:contextualSpacing/>
              <w:rPr>
                <w:rFonts w:eastAsia="Calibri"/>
              </w:rPr>
            </w:pPr>
            <w:r>
              <w:rPr>
                <w:rFonts w:eastAsia="Calibri"/>
              </w:rPr>
              <w:t>Психолого-педагогические подходы к коррекции нарушенных когнитивных функций детей с СДВГ</w:t>
            </w:r>
          </w:p>
          <w:p>
            <w:pPr>
              <w:pStyle w:val="Normal"/>
              <w:numPr>
                <w:ilvl w:val="0"/>
                <w:numId w:val="12"/>
              </w:numPr>
              <w:tabs>
                <w:tab w:val="clear" w:pos="708"/>
                <w:tab w:val="left" w:pos="720" w:leader="none"/>
                <w:tab w:val="left" w:pos="888" w:leader="none"/>
              </w:tabs>
              <w:spacing w:before="0" w:after="0"/>
              <w:ind w:left="0" w:firstLine="567"/>
              <w:contextualSpacing/>
              <w:rPr>
                <w:rFonts w:eastAsia="Calibri"/>
              </w:rPr>
            </w:pPr>
            <w:r>
              <w:rPr>
                <w:rFonts w:eastAsia="Calibri"/>
              </w:rPr>
              <w:t>Психолого-педагогические подходы к развитию мотивационной сферы детей с СДВГ</w:t>
            </w:r>
          </w:p>
          <w:p>
            <w:pPr>
              <w:pStyle w:val="Normal"/>
              <w:numPr>
                <w:ilvl w:val="0"/>
                <w:numId w:val="12"/>
              </w:numPr>
              <w:tabs>
                <w:tab w:val="clear" w:pos="708"/>
                <w:tab w:val="left" w:pos="720" w:leader="none"/>
                <w:tab w:val="left" w:pos="888" w:leader="none"/>
              </w:tabs>
              <w:spacing w:before="0" w:after="0"/>
              <w:ind w:left="0" w:firstLine="567"/>
              <w:contextualSpacing/>
              <w:rPr>
                <w:rFonts w:eastAsia="Calibri"/>
              </w:rPr>
            </w:pPr>
            <w:r>
              <w:rPr>
                <w:rFonts w:eastAsia="Calibri"/>
              </w:rPr>
              <w:t xml:space="preserve">Современные коррекционно-развивающие психолого-педагогические методы работы с детьми с СДВГ </w:t>
            </w:r>
          </w:p>
          <w:p>
            <w:pPr>
              <w:pStyle w:val="Normal"/>
              <w:numPr>
                <w:ilvl w:val="0"/>
                <w:numId w:val="12"/>
              </w:numPr>
              <w:tabs>
                <w:tab w:val="clear" w:pos="708"/>
                <w:tab w:val="left" w:pos="720" w:leader="none"/>
                <w:tab w:val="left" w:pos="888" w:leader="none"/>
              </w:tabs>
              <w:spacing w:before="0" w:after="0"/>
              <w:ind w:left="0" w:firstLine="567"/>
              <w:contextualSpacing/>
              <w:rPr>
                <w:rFonts w:eastAsia="Calibri"/>
              </w:rPr>
            </w:pPr>
            <w:r>
              <w:rPr>
                <w:rFonts w:eastAsia="Calibri"/>
              </w:rPr>
              <w:t xml:space="preserve">Современные коррекционно-развивающие психолого-педагогические технологии работы с детьми с СДВГ, используемые во внеурочной деятельности. </w:t>
            </w:r>
          </w:p>
          <w:p>
            <w:pPr>
              <w:pStyle w:val="Normal"/>
              <w:tabs>
                <w:tab w:val="clear" w:pos="708"/>
                <w:tab w:val="left" w:pos="720" w:leader="none"/>
                <w:tab w:val="left" w:pos="888" w:leader="none"/>
              </w:tabs>
              <w:spacing w:before="0" w:after="0"/>
              <w:ind w:left="567" w:hanging="0"/>
              <w:contextualSpacing/>
              <w:rPr>
                <w:rFonts w:eastAsia="Calibri"/>
              </w:rPr>
            </w:pPr>
            <w:r>
              <w:rPr>
                <w:rFonts w:eastAsia="Calibri"/>
              </w:rPr>
              <w:t xml:space="preserve">В качестве выпускной аттестационной работы слушатель представляет портфолио. </w:t>
            </w:r>
          </w:p>
          <w:p>
            <w:pPr>
              <w:pStyle w:val="Normal"/>
              <w:ind w:firstLine="567"/>
              <w:jc w:val="both"/>
              <w:rPr/>
            </w:pPr>
            <w:r>
              <w:rPr>
                <w:rFonts w:eastAsia="Calibri"/>
                <w:lang w:eastAsia="en-US"/>
              </w:rPr>
              <w:t xml:space="preserve">Портфолио включает описание технологии </w:t>
            </w:r>
            <w:r>
              <w:rPr/>
              <w:t>п</w:t>
            </w:r>
            <w:r>
              <w:rPr>
                <w:rFonts w:eastAsia="Calibri"/>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w:t>
            </w:r>
          </w:p>
          <w:p>
            <w:pPr>
              <w:pStyle w:val="Normal"/>
              <w:ind w:firstLine="567"/>
              <w:rPr/>
            </w:pPr>
            <w:r>
              <w:rPr>
                <w:rFonts w:eastAsia="Calibri"/>
                <w:b/>
                <w:color w:val="000000"/>
                <w:lang w:eastAsia="en-US"/>
              </w:rPr>
              <w:t>Требования к структуре и оформлению работы</w:t>
            </w:r>
            <w:r>
              <w:rPr>
                <w:rFonts w:eastAsia="Calibri"/>
                <w:color w:val="000000"/>
                <w:lang w:eastAsia="en-US"/>
              </w:rPr>
              <w:t xml:space="preserve"> (</w:t>
            </w:r>
            <w:r>
              <w:rPr>
                <w:rFonts w:eastAsia="Calibri"/>
                <w:i/>
                <w:color w:val="000000"/>
                <w:lang w:eastAsia="en-US"/>
              </w:rPr>
              <w:t>за исключение требований, описанных в локальных нормативных актах</w:t>
            </w:r>
            <w:r>
              <w:rPr>
                <w:rFonts w:eastAsia="Calibri"/>
                <w:color w:val="000000"/>
                <w:lang w:eastAsia="en-US"/>
              </w:rPr>
              <w:t>)</w:t>
            </w:r>
          </w:p>
          <w:p>
            <w:pPr>
              <w:pStyle w:val="Normal"/>
              <w:ind w:firstLine="567"/>
              <w:jc w:val="both"/>
              <w:rPr/>
            </w:pPr>
            <w:r>
              <w:rPr>
                <w:rFonts w:eastAsia="Calibri"/>
                <w:lang w:eastAsia="en-US"/>
              </w:rPr>
              <w:t>Содержание портфолио должно соответствовать характеру профессиональной деятельности слушателя, отражать современные подходы в дошкольном образовании, в том числе, реализуемом в семейной форме, соответствовать ФГОС ДО. Объем работы не должен превышать 15</w:t>
            </w:r>
            <w:r>
              <w:rPr>
                <w:rFonts w:eastAsia="Calibri"/>
                <w:b/>
                <w:lang w:eastAsia="en-US"/>
              </w:rPr>
              <w:t xml:space="preserve"> </w:t>
            </w:r>
            <w:r>
              <w:rPr>
                <w:rFonts w:eastAsia="Calibri"/>
                <w:lang w:eastAsia="en-US"/>
              </w:rPr>
              <w:t xml:space="preserve">страниц машинописного текста </w:t>
            </w:r>
            <w:r>
              <w:rPr>
                <w:rFonts w:eastAsia="Calibri"/>
                <w:lang w:val="en-US" w:eastAsia="en-US"/>
              </w:rPr>
              <w:t>Times</w:t>
            </w:r>
            <w:r>
              <w:rPr>
                <w:rFonts w:eastAsia="Calibri"/>
                <w:lang w:eastAsia="en-US"/>
              </w:rPr>
              <w:t xml:space="preserve"> </w:t>
            </w:r>
            <w:r>
              <w:rPr>
                <w:rFonts w:eastAsia="Calibri"/>
                <w:lang w:val="en-US" w:eastAsia="en-US"/>
              </w:rPr>
              <w:t>New</w:t>
            </w:r>
            <w:r>
              <w:rPr>
                <w:rFonts w:eastAsia="Calibri"/>
                <w:lang w:eastAsia="en-US"/>
              </w:rPr>
              <w:t xml:space="preserve"> </w:t>
            </w:r>
            <w:r>
              <w:rPr>
                <w:rFonts w:eastAsia="Calibri"/>
                <w:lang w:val="en-US" w:eastAsia="en-US"/>
              </w:rPr>
              <w:t>Roman</w:t>
            </w:r>
            <w:r>
              <w:rPr>
                <w:rFonts w:eastAsia="Calibri"/>
                <w:lang w:eastAsia="en-US"/>
              </w:rPr>
              <w:t xml:space="preserve"> 14 пт интервал 1,5.</w:t>
            </w:r>
          </w:p>
          <w:p>
            <w:pPr>
              <w:pStyle w:val="Normal"/>
              <w:ind w:firstLine="567"/>
              <w:jc w:val="both"/>
              <w:rPr>
                <w:rFonts w:eastAsia="Calibri"/>
                <w:lang w:eastAsia="en-US"/>
              </w:rPr>
            </w:pPr>
            <w:r>
              <w:rPr>
                <w:rFonts w:eastAsia="Calibri"/>
                <w:lang w:eastAsia="en-US"/>
              </w:rPr>
              <w:t xml:space="preserve">Техническое оформление: Портфолио содержит титульный лист, перечень включенных тем и работ, список использованной литературы (не менее 3-х источников), ссылки на ФГОС ДО и ФЗ "Об образовании в Российской Федерации". </w:t>
            </w:r>
          </w:p>
          <w:p>
            <w:pPr>
              <w:pStyle w:val="Normal"/>
              <w:ind w:firstLine="567"/>
              <w:jc w:val="both"/>
              <w:rPr>
                <w:rFonts w:eastAsia="Calibri"/>
                <w:lang w:eastAsia="en-US"/>
              </w:rPr>
            </w:pPr>
            <w:r>
              <w:rPr>
                <w:rFonts w:eastAsia="Calibri"/>
                <w:lang w:eastAsia="en-US"/>
              </w:rPr>
              <w:t xml:space="preserve">Объем текста работы не должен превышать 15 стандартных страниц, из которых: </w:t>
            </w:r>
          </w:p>
          <w:p>
            <w:pPr>
              <w:pStyle w:val="Normal"/>
              <w:numPr>
                <w:ilvl w:val="0"/>
                <w:numId w:val="17"/>
              </w:numPr>
              <w:spacing w:before="0" w:after="0"/>
              <w:ind w:left="0" w:firstLine="567"/>
              <w:contextualSpacing/>
              <w:jc w:val="both"/>
              <w:rPr>
                <w:rFonts w:eastAsia="Calibri"/>
              </w:rPr>
            </w:pPr>
            <w:r>
              <w:rPr>
                <w:rFonts w:eastAsia="Calibri"/>
              </w:rPr>
              <w:t xml:space="preserve">1–2 страницы отводится на введение с описанием всех элементов включенных технологий (актуальности, проблемы, темы, объекта, предмета, цели, задач, демонстрируемых форм и методов); </w:t>
            </w:r>
          </w:p>
          <w:p>
            <w:pPr>
              <w:pStyle w:val="Normal"/>
              <w:numPr>
                <w:ilvl w:val="0"/>
                <w:numId w:val="17"/>
              </w:numPr>
              <w:spacing w:before="0" w:after="0"/>
              <w:ind w:left="0" w:firstLine="567"/>
              <w:contextualSpacing/>
              <w:jc w:val="both"/>
              <w:rPr>
                <w:rFonts w:eastAsia="Calibri"/>
              </w:rPr>
            </w:pPr>
            <w:r>
              <w:rPr>
                <w:rFonts w:eastAsia="Calibri"/>
              </w:rPr>
              <w:t>1 страница отводится на заключение;</w:t>
            </w:r>
          </w:p>
          <w:p>
            <w:pPr>
              <w:pStyle w:val="Normal"/>
              <w:numPr>
                <w:ilvl w:val="0"/>
                <w:numId w:val="17"/>
              </w:numPr>
              <w:spacing w:before="0" w:after="0"/>
              <w:ind w:left="0" w:firstLine="567"/>
              <w:contextualSpacing/>
              <w:jc w:val="both"/>
              <w:rPr>
                <w:rFonts w:eastAsia="Calibri"/>
              </w:rPr>
            </w:pPr>
            <w:r>
              <w:rPr>
                <w:rFonts w:eastAsia="Calibri"/>
              </w:rPr>
              <w:t xml:space="preserve">1 страница отводится на приведение всех использованных в работе литературных и интернет-источников, нормативная база; </w:t>
            </w:r>
          </w:p>
          <w:p>
            <w:pPr>
              <w:pStyle w:val="Normal"/>
              <w:numPr>
                <w:ilvl w:val="0"/>
                <w:numId w:val="17"/>
              </w:numPr>
              <w:spacing w:before="0" w:after="0"/>
              <w:ind w:left="0" w:firstLine="567"/>
              <w:contextualSpacing/>
              <w:jc w:val="both"/>
              <w:rPr>
                <w:rFonts w:eastAsia="Calibri"/>
              </w:rPr>
            </w:pPr>
            <w:r>
              <w:rPr>
                <w:rFonts w:eastAsia="Calibri"/>
              </w:rPr>
              <w:t>остальной объем составляет основная часть работы.</w:t>
            </w:r>
          </w:p>
          <w:p>
            <w:pPr>
              <w:pStyle w:val="Normal"/>
              <w:ind w:firstLine="567"/>
              <w:jc w:val="both"/>
              <w:rPr>
                <w:rFonts w:eastAsia="Calibri"/>
                <w:lang w:eastAsia="en-US"/>
              </w:rPr>
            </w:pPr>
            <w:r>
              <w:rPr>
                <w:rFonts w:eastAsia="Calibri"/>
                <w:lang w:eastAsia="en-US"/>
              </w:rPr>
              <w:t xml:space="preserve">Для уменьшения объема работы в тексте можно делать сокращения (аббревиатуры). </w:t>
            </w:r>
          </w:p>
          <w:p>
            <w:pPr>
              <w:pStyle w:val="Normal"/>
              <w:ind w:firstLine="567"/>
              <w:jc w:val="both"/>
              <w:rPr>
                <w:rFonts w:eastAsia="Calibri"/>
                <w:lang w:eastAsia="en-US"/>
              </w:rPr>
            </w:pPr>
            <w:r>
              <w:rPr>
                <w:rFonts w:eastAsia="Calibri"/>
                <w:lang w:eastAsia="en-US"/>
              </w:rPr>
              <w:t xml:space="preserve">Для этого необходимо один раз написать полное название того, что необходимо подвергнуть сокращению, затем в круглых скобках записать само сокращение, а затем далее по тексту пользоваться вышеприведенным сокращением. </w:t>
            </w:r>
          </w:p>
          <w:p>
            <w:pPr>
              <w:pStyle w:val="Normal"/>
              <w:ind w:firstLine="567"/>
              <w:jc w:val="both"/>
              <w:rPr>
                <w:rFonts w:eastAsia="Calibri"/>
                <w:lang w:eastAsia="en-US"/>
              </w:rPr>
            </w:pPr>
            <w:r>
              <w:rPr>
                <w:rFonts w:eastAsia="Calibri"/>
                <w:lang w:eastAsia="en-US"/>
              </w:rPr>
              <w:t xml:space="preserve">Титульный лист должен содержать такие элементы, как: </w:t>
            </w:r>
          </w:p>
          <w:p>
            <w:pPr>
              <w:pStyle w:val="Normal"/>
              <w:tabs>
                <w:tab w:val="clear" w:pos="708"/>
                <w:tab w:val="left" w:pos="789" w:leader="none"/>
              </w:tabs>
              <w:ind w:firstLine="567"/>
              <w:jc w:val="both"/>
              <w:rPr>
                <w:rFonts w:eastAsia="Calibri"/>
                <w:lang w:eastAsia="en-US"/>
              </w:rPr>
            </w:pPr>
            <w:r>
              <w:rPr>
                <w:rFonts w:eastAsia="Calibri"/>
                <w:lang w:eastAsia="en-US"/>
              </w:rPr>
              <w:t>•</w:t>
            </w:r>
            <w:r>
              <w:rPr>
                <w:rFonts w:eastAsia="Calibri"/>
                <w:lang w:eastAsia="en-US"/>
              </w:rPr>
              <w:tab/>
              <w:t xml:space="preserve">полное название образовательной организации, в которой слушатель осваивал программу повышения квалификации; </w:t>
            </w:r>
          </w:p>
          <w:p>
            <w:pPr>
              <w:pStyle w:val="Normal"/>
              <w:tabs>
                <w:tab w:val="clear" w:pos="708"/>
                <w:tab w:val="left" w:pos="789" w:leader="none"/>
              </w:tabs>
              <w:ind w:firstLine="567"/>
              <w:jc w:val="both"/>
              <w:rPr>
                <w:rFonts w:eastAsia="Calibri"/>
                <w:lang w:eastAsia="en-US"/>
              </w:rPr>
            </w:pPr>
            <w:r>
              <w:rPr>
                <w:rFonts w:eastAsia="Calibri"/>
                <w:lang w:eastAsia="en-US"/>
              </w:rPr>
              <w:t>•</w:t>
            </w:r>
            <w:r>
              <w:rPr>
                <w:rFonts w:eastAsia="Calibri"/>
                <w:lang w:eastAsia="en-US"/>
              </w:rPr>
              <w:tab/>
              <w:t>название экзаменационной работы на титульном листе пишется со словами «по теме», в кавычках;</w:t>
            </w:r>
          </w:p>
          <w:p>
            <w:pPr>
              <w:pStyle w:val="Normal"/>
              <w:tabs>
                <w:tab w:val="clear" w:pos="708"/>
                <w:tab w:val="left" w:pos="789" w:leader="none"/>
              </w:tabs>
              <w:ind w:firstLine="567"/>
              <w:jc w:val="both"/>
              <w:rPr>
                <w:rFonts w:eastAsia="Calibri"/>
                <w:lang w:eastAsia="en-US"/>
              </w:rPr>
            </w:pPr>
            <w:r>
              <w:rPr>
                <w:rFonts w:eastAsia="Calibri"/>
                <w:lang w:eastAsia="en-US"/>
              </w:rPr>
              <w:t>•</w:t>
            </w:r>
            <w:r>
              <w:rPr>
                <w:rFonts w:eastAsia="Calibri"/>
                <w:lang w:eastAsia="en-US"/>
              </w:rPr>
              <w:tab/>
              <w:t xml:space="preserve">сведения о слушателе, выполнившем экзаменационную работу, которая включает его фамилию, имя, отчество, название программы повышения квалификации; </w:t>
            </w:r>
          </w:p>
          <w:p>
            <w:pPr>
              <w:pStyle w:val="Normal"/>
              <w:tabs>
                <w:tab w:val="clear" w:pos="708"/>
                <w:tab w:val="left" w:pos="789" w:leader="none"/>
              </w:tabs>
              <w:ind w:firstLine="567"/>
              <w:jc w:val="both"/>
              <w:rPr>
                <w:rFonts w:eastAsia="Calibri"/>
                <w:lang w:eastAsia="en-US"/>
              </w:rPr>
            </w:pPr>
            <w:r>
              <w:rPr>
                <w:rFonts w:eastAsia="Calibri"/>
                <w:lang w:eastAsia="en-US"/>
              </w:rPr>
              <w:t>•</w:t>
            </w:r>
            <w:r>
              <w:rPr>
                <w:rFonts w:eastAsia="Calibri"/>
                <w:lang w:eastAsia="en-US"/>
              </w:rPr>
              <w:tab/>
              <w:t xml:space="preserve">сведения о кураторе (фамилия, имя, отчество, должность или звание, научная степень, место работы); </w:t>
            </w:r>
          </w:p>
          <w:p>
            <w:pPr>
              <w:pStyle w:val="Normal"/>
              <w:tabs>
                <w:tab w:val="clear" w:pos="708"/>
                <w:tab w:val="left" w:pos="789" w:leader="none"/>
              </w:tabs>
              <w:ind w:firstLine="567"/>
              <w:jc w:val="both"/>
              <w:rPr>
                <w:rFonts w:eastAsia="Calibri"/>
                <w:lang w:eastAsia="en-US"/>
              </w:rPr>
            </w:pPr>
            <w:r>
              <w:rPr>
                <w:rFonts w:eastAsia="Calibri"/>
                <w:lang w:eastAsia="en-US"/>
              </w:rPr>
              <w:t>•</w:t>
            </w:r>
            <w:r>
              <w:rPr>
                <w:rFonts w:eastAsia="Calibri"/>
                <w:lang w:eastAsia="en-US"/>
              </w:rPr>
              <w:tab/>
              <w:t>город, в котором была выполнена работа, а также год выполнения слушателем работы.</w:t>
            </w:r>
          </w:p>
          <w:p>
            <w:pPr>
              <w:pStyle w:val="Normal"/>
              <w:ind w:firstLine="567"/>
              <w:jc w:val="both"/>
              <w:rPr>
                <w:rFonts w:eastAsia="Calibri"/>
                <w:color w:val="000000"/>
                <w:lang w:eastAsia="en-US"/>
              </w:rPr>
            </w:pPr>
            <w:r>
              <w:rPr>
                <w:rFonts w:eastAsia="Calibri"/>
                <w:lang w:eastAsia="en-US"/>
              </w:rPr>
              <w:t>Соблюдены правила форматирование текста (Работа выполняется на стандартных листах белой бумаги формата А4. Размер шрифта – 12 кегль) через полуторный интервал между строками на одной стороне листа. На каждом листе работы, включая титульный лист, оставляются поля: слева – 3 см, сверху и снизу по 2 см, справа – 1 см. Защита экзаменационной работы проводится на открытом заседании ИАК.</w:t>
            </w:r>
          </w:p>
        </w:tc>
      </w:tr>
      <w:tr>
        <w:trPr>
          <w:trHeight w:val="300" w:hRule="atLeast"/>
        </w:trPr>
        <w:tc>
          <w:tcPr>
            <w:tcW w:w="9451" w:type="dxa"/>
            <w:gridSpan w:val="5"/>
            <w:tcBorders>
              <w:top w:val="single" w:sz="6" w:space="0" w:color="000000"/>
              <w:left w:val="single" w:sz="6" w:space="0" w:color="000000"/>
              <w:bottom w:val="single" w:sz="6" w:space="0" w:color="000000"/>
              <w:right w:val="single" w:sz="6" w:space="0" w:color="000000"/>
            </w:tcBorders>
          </w:tcPr>
          <w:p>
            <w:pPr>
              <w:pStyle w:val="Normal"/>
              <w:ind w:firstLine="567"/>
              <w:jc w:val="center"/>
              <w:rPr>
                <w:rFonts w:eastAsia="Calibri"/>
                <w:b/>
                <w:b/>
                <w:color w:val="000000"/>
                <w:lang w:eastAsia="en-US"/>
              </w:rPr>
            </w:pPr>
            <w:r>
              <w:rPr>
                <w:rFonts w:eastAsia="Calibri"/>
                <w:b/>
                <w:color w:val="000000"/>
                <w:lang w:eastAsia="en-US"/>
              </w:rPr>
              <w:t>Оценка работы (включая структуру и оформление)</w:t>
            </w:r>
          </w:p>
        </w:tc>
      </w:tr>
      <w:tr>
        <w:trPr>
          <w:trHeight w:val="300" w:hRule="atLeast"/>
        </w:trPr>
        <w:tc>
          <w:tcPr>
            <w:tcW w:w="3482" w:type="dxa"/>
            <w:gridSpan w:val="2"/>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 xml:space="preserve">Предмет(ы) </w:t>
            </w:r>
          </w:p>
          <w:p>
            <w:pPr>
              <w:pStyle w:val="Normal"/>
              <w:jc w:val="center"/>
              <w:rPr>
                <w:rFonts w:eastAsia="Calibri"/>
                <w:color w:val="000000"/>
                <w:lang w:eastAsia="en-US"/>
              </w:rPr>
            </w:pPr>
            <w:r>
              <w:rPr>
                <w:rFonts w:eastAsia="Calibri"/>
                <w:color w:val="000000"/>
                <w:lang w:eastAsia="en-US"/>
              </w:rPr>
              <w:t>Оценивания</w:t>
            </w:r>
          </w:p>
          <w:p>
            <w:pPr>
              <w:pStyle w:val="Normal"/>
              <w:jc w:val="center"/>
              <w:rPr>
                <w:rFonts w:eastAsia="Calibri"/>
                <w:color w:val="000000"/>
                <w:lang w:eastAsia="en-US"/>
              </w:rPr>
            </w:pPr>
            <w:r>
              <w:rPr>
                <w:rFonts w:eastAsia="Calibri"/>
                <w:color w:val="000000"/>
                <w:lang w:eastAsia="en-US"/>
              </w:rPr>
            </w:r>
          </w:p>
        </w:tc>
        <w:tc>
          <w:tcPr>
            <w:tcW w:w="3402"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jc w:val="center"/>
              <w:rPr>
                <w:rFonts w:eastAsia="Calibri"/>
                <w:lang w:eastAsia="en-US"/>
              </w:rPr>
            </w:pPr>
            <w:r>
              <w:rPr>
                <w:rFonts w:eastAsia="Calibri"/>
                <w:lang w:eastAsia="en-US"/>
              </w:rPr>
              <w:t xml:space="preserve">Критерии </w:t>
            </w:r>
          </w:p>
          <w:p>
            <w:pPr>
              <w:pStyle w:val="Normal"/>
              <w:jc w:val="center"/>
              <w:rPr>
                <w:rFonts w:eastAsia="Calibri"/>
                <w:lang w:eastAsia="en-US"/>
              </w:rPr>
            </w:pPr>
            <w:r>
              <w:rPr>
                <w:rFonts w:eastAsia="Calibri"/>
                <w:lang w:eastAsia="en-US"/>
              </w:rPr>
              <w:t>Оценки</w:t>
            </w:r>
          </w:p>
          <w:p>
            <w:pPr>
              <w:pStyle w:val="Normal"/>
              <w:jc w:val="center"/>
              <w:rPr>
                <w:rFonts w:eastAsia="Calibri"/>
              </w:rPr>
            </w:pPr>
            <w:r>
              <w:rPr>
                <w:rFonts w:eastAsia="Times New Roman"/>
                <w:lang w:eastAsia="en-US"/>
              </w:rPr>
              <w:t xml:space="preserve"> </w:t>
            </w:r>
          </w:p>
        </w:tc>
        <w:tc>
          <w:tcPr>
            <w:tcW w:w="256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567"/>
              <w:jc w:val="center"/>
              <w:rPr>
                <w:rFonts w:eastAsia="Calibri"/>
                <w:lang w:eastAsia="en-US"/>
              </w:rPr>
            </w:pPr>
            <w:r>
              <w:rPr>
                <w:rFonts w:eastAsia="Calibri"/>
                <w:lang w:eastAsia="en-US"/>
              </w:rPr>
              <w:t>Показатели</w:t>
            </w:r>
          </w:p>
          <w:p>
            <w:pPr>
              <w:pStyle w:val="Normal"/>
              <w:ind w:firstLine="567"/>
              <w:jc w:val="center"/>
              <w:rPr>
                <w:rFonts w:eastAsia="Calibri"/>
                <w:lang w:eastAsia="en-US"/>
              </w:rPr>
            </w:pPr>
            <w:r>
              <w:rPr>
                <w:rFonts w:eastAsia="Calibri"/>
                <w:lang w:eastAsia="en-US"/>
              </w:rPr>
              <w:t>оценки</w:t>
            </w:r>
          </w:p>
        </w:tc>
      </w:tr>
      <w:tr>
        <w:trPr>
          <w:trHeight w:val="300" w:hRule="atLeast"/>
        </w:trPr>
        <w:tc>
          <w:tcPr>
            <w:tcW w:w="3482" w:type="dxa"/>
            <w:gridSpan w:val="2"/>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lang w:eastAsia="en-US"/>
              </w:rPr>
              <w:t>Готовность осуществлять оценку параметров и проектирование психологически безопасной и комфортной образовательной среды</w:t>
            </w:r>
          </w:p>
        </w:tc>
        <w:tc>
          <w:tcPr>
            <w:tcW w:w="3402"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rPr>
                <w:rFonts w:eastAsia="Calibri"/>
                <w:lang w:eastAsia="en-US"/>
              </w:rPr>
            </w:pPr>
            <w:r>
              <w:rPr>
                <w:rFonts w:eastAsia="Calibri"/>
                <w:lang w:eastAsia="en-US"/>
              </w:rPr>
              <w:t>1. Представлены и обоснованы критерии оценки психологически безопасной и комфортной образовательной среды</w:t>
            </w:r>
          </w:p>
          <w:p>
            <w:pPr>
              <w:pStyle w:val="Normal"/>
              <w:rPr/>
            </w:pPr>
            <w:r>
              <w:rPr>
                <w:rFonts w:eastAsia="Calibri"/>
                <w:lang w:eastAsia="en-US"/>
              </w:rPr>
              <w:t>2. Описаны и обоснованы этапы проектирования психологически безопасной и комфортной образовательной среды</w:t>
            </w:r>
            <w:r>
              <w:rPr>
                <w:rFonts w:eastAsia="Calibri"/>
                <w:color w:val="000000"/>
                <w:lang w:eastAsia="en-US"/>
              </w:rPr>
              <w:t xml:space="preserve"> </w:t>
            </w:r>
          </w:p>
          <w:p>
            <w:pPr>
              <w:pStyle w:val="Normal"/>
              <w:rPr/>
            </w:pPr>
            <w:r>
              <w:rPr>
                <w:rFonts w:eastAsia="Calibri"/>
                <w:color w:val="000000"/>
                <w:lang w:eastAsia="en-US"/>
              </w:rPr>
              <w:t xml:space="preserve">3. Представленная работа соответствует современной нормативно-правовой базе в области </w:t>
            </w:r>
            <w:r>
              <w:rPr/>
              <w:t>работы с детьми с особыми образовательными потребностями</w:t>
            </w:r>
            <w:r>
              <w:rPr>
                <w:rFonts w:eastAsia="Calibri"/>
                <w:color w:val="000000"/>
                <w:highlight w:val="yellow"/>
                <w:lang w:eastAsia="en-US"/>
              </w:rPr>
              <w:t xml:space="preserve"> </w:t>
            </w:r>
          </w:p>
        </w:tc>
        <w:tc>
          <w:tcPr>
            <w:tcW w:w="2567" w:type="dxa"/>
            <w:vMerge w:val="restart"/>
            <w:tcBorders>
              <w:top w:val="single" w:sz="6" w:space="0" w:color="000000"/>
              <w:left w:val="single" w:sz="6" w:space="0" w:color="000000"/>
              <w:right w:val="single" w:sz="6" w:space="0" w:color="000000"/>
            </w:tcBorders>
            <w:tcMar>
              <w:top w:w="140" w:type="dxa"/>
              <w:left w:w="80" w:type="dxa"/>
              <w:bottom w:w="140" w:type="dxa"/>
              <w:right w:w="80" w:type="dxa"/>
            </w:tcMar>
          </w:tcPr>
          <w:p>
            <w:pPr>
              <w:pStyle w:val="Normal"/>
              <w:ind w:firstLine="113"/>
              <w:rPr>
                <w:rFonts w:eastAsia="Calibri"/>
                <w:color w:val="000000"/>
                <w:lang w:eastAsia="en-US"/>
              </w:rPr>
            </w:pPr>
            <w:r>
              <w:rPr>
                <w:rFonts w:eastAsia="Calibri"/>
                <w:color w:val="000000"/>
                <w:lang w:eastAsia="en-US"/>
              </w:rPr>
              <w:t>Полностью или частично по всем критериям</w:t>
            </w:r>
          </w:p>
        </w:tc>
      </w:tr>
      <w:tr>
        <w:trPr>
          <w:trHeight w:val="300" w:hRule="atLeast"/>
        </w:trPr>
        <w:tc>
          <w:tcPr>
            <w:tcW w:w="3482" w:type="dxa"/>
            <w:gridSpan w:val="2"/>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lang w:eastAsia="en-US"/>
              </w:rPr>
              <w:t>Готовность осуществлять разработку (совместно с другими специалистами) и реализацию совместно с родителями (законными представителями) программ индивидуального развития ребенка</w:t>
            </w:r>
          </w:p>
        </w:tc>
        <w:tc>
          <w:tcPr>
            <w:tcW w:w="3402"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numPr>
                <w:ilvl w:val="0"/>
                <w:numId w:val="30"/>
              </w:numPr>
              <w:tabs>
                <w:tab w:val="clear" w:pos="708"/>
                <w:tab w:val="left" w:pos="0" w:leader="none"/>
                <w:tab w:val="left" w:pos="345" w:leader="none"/>
              </w:tabs>
              <w:spacing w:before="0" w:after="0"/>
              <w:ind w:left="0" w:hanging="0"/>
              <w:contextualSpacing/>
              <w:jc w:val="both"/>
              <w:rPr>
                <w:rFonts w:eastAsia="Calibri"/>
              </w:rPr>
            </w:pPr>
            <w:r>
              <w:rPr>
                <w:rFonts w:eastAsia="Calibri"/>
              </w:rPr>
              <w:t xml:space="preserve">Обоснована актуальность разработанной программы индивидуального развития ребенка с СДВГ </w:t>
            </w:r>
          </w:p>
          <w:p>
            <w:pPr>
              <w:pStyle w:val="Normal"/>
              <w:numPr>
                <w:ilvl w:val="0"/>
                <w:numId w:val="30"/>
              </w:numPr>
              <w:tabs>
                <w:tab w:val="clear" w:pos="708"/>
                <w:tab w:val="left" w:pos="0" w:leader="none"/>
                <w:tab w:val="left" w:pos="345" w:leader="none"/>
              </w:tabs>
              <w:spacing w:before="0" w:after="0"/>
              <w:ind w:left="0" w:hanging="0"/>
              <w:contextualSpacing/>
              <w:jc w:val="both"/>
              <w:rPr>
                <w:rFonts w:eastAsia="Calibri"/>
              </w:rPr>
            </w:pPr>
            <w:r>
              <w:rPr>
                <w:rFonts w:eastAsia="Calibri"/>
              </w:rPr>
              <w:t>Описаны и обоснованы этапы программы индивидуального развития ребенка с СДВГ</w:t>
            </w:r>
          </w:p>
          <w:p>
            <w:pPr>
              <w:pStyle w:val="Normal"/>
              <w:jc w:val="both"/>
              <w:rPr>
                <w:rFonts w:eastAsia="Calibri"/>
                <w:color w:val="000000"/>
                <w:highlight w:val="yellow"/>
                <w:lang w:eastAsia="en-US"/>
              </w:rPr>
            </w:pPr>
            <w:r>
              <w:rPr>
                <w:rFonts w:eastAsia="Calibri"/>
                <w:lang w:eastAsia="en-US"/>
              </w:rPr>
              <w:t>3. Представленная программа опирается на современные представления о психофизиологических и личностных особенностях обучающихся с СДВГ</w:t>
            </w:r>
          </w:p>
        </w:tc>
        <w:tc>
          <w:tcPr>
            <w:tcW w:w="2567" w:type="dxa"/>
            <w:vMerge w:val="continue"/>
            <w:tcBorders>
              <w:top w:val="single" w:sz="6" w:space="0" w:color="000000"/>
              <w:left w:val="single" w:sz="6" w:space="0" w:color="000000"/>
              <w:right w:val="single" w:sz="6" w:space="0" w:color="000000"/>
            </w:tcBorders>
            <w:tcMar>
              <w:top w:w="140" w:type="dxa"/>
              <w:left w:w="80" w:type="dxa"/>
              <w:bottom w:w="140" w:type="dxa"/>
              <w:right w:w="80" w:type="dxa"/>
            </w:tcMar>
          </w:tcPr>
          <w:p>
            <w:pPr>
              <w:pStyle w:val="Normal"/>
              <w:snapToGrid w:val="false"/>
              <w:ind w:firstLine="113"/>
              <w:rPr>
                <w:rFonts w:eastAsia="Calibri"/>
                <w:color w:val="000000"/>
                <w:highlight w:val="yellow"/>
                <w:lang w:eastAsia="en-US"/>
              </w:rPr>
            </w:pPr>
            <w:r>
              <w:rPr>
                <w:rFonts w:eastAsia="Calibri"/>
                <w:color w:val="000000"/>
                <w:highlight w:val="yellow"/>
                <w:lang w:eastAsia="en-US"/>
              </w:rPr>
            </w:r>
          </w:p>
        </w:tc>
      </w:tr>
      <w:tr>
        <w:trPr>
          <w:trHeight w:val="300" w:hRule="atLeast"/>
        </w:trPr>
        <w:tc>
          <w:tcPr>
            <w:tcW w:w="3482" w:type="dxa"/>
            <w:gridSpan w:val="2"/>
            <w:tcBorders>
              <w:top w:val="single" w:sz="6" w:space="0" w:color="000000"/>
              <w:left w:val="single" w:sz="6" w:space="0" w:color="000000"/>
              <w:bottom w:val="single" w:sz="6" w:space="0" w:color="000000"/>
              <w:right w:val="single" w:sz="6" w:space="0" w:color="000000"/>
            </w:tcBorders>
          </w:tcPr>
          <w:p>
            <w:pPr>
              <w:pStyle w:val="Normal"/>
              <w:spacing w:before="0" w:after="0"/>
              <w:contextualSpacing/>
              <w:rPr>
                <w:rFonts w:eastAsia="Calibri"/>
                <w:color w:val="000000"/>
              </w:rPr>
            </w:pPr>
            <w:r>
              <w:rPr>
                <w:rFonts w:eastAsia="Calibri"/>
              </w:rPr>
              <w:t>Готовность применять психолого-педагогические технологии (в том числе инклюзивные), необходимых для адресной работы с детьми с особыми образовательными потребностями (дети с синдромом дефицита внимания и гиперактивностью)</w:t>
            </w:r>
          </w:p>
        </w:tc>
        <w:tc>
          <w:tcPr>
            <w:tcW w:w="3402"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rPr/>
            </w:pPr>
            <w:r>
              <w:rPr>
                <w:rFonts w:eastAsia="Calibri"/>
                <w:color w:val="000000"/>
                <w:lang w:eastAsia="en-US"/>
              </w:rPr>
              <w:t xml:space="preserve">1. В содержании портфолио описаны формы и методы </w:t>
            </w:r>
            <w:r>
              <w:rPr>
                <w:rFonts w:eastAsia="Calibri"/>
                <w:lang w:eastAsia="en-US"/>
              </w:rPr>
              <w:t>адресной работы с детьми с особыми образовательными потребностями (дети с синдромом дефицита внимания и гиперактивностью)</w:t>
            </w:r>
          </w:p>
          <w:p>
            <w:pPr>
              <w:pStyle w:val="Normal"/>
              <w:rPr>
                <w:rFonts w:eastAsia="Calibri"/>
                <w:lang w:eastAsia="en-US"/>
              </w:rPr>
            </w:pPr>
            <w:r>
              <w:rPr>
                <w:rFonts w:eastAsia="Calibri"/>
                <w:lang w:eastAsia="en-US"/>
              </w:rPr>
              <w:t xml:space="preserve">2. Описаны педагогические условия для преодоления синдрома дефицита внимания и гиперактивности у обучающихся в образовательном процессе </w:t>
            </w:r>
          </w:p>
          <w:p>
            <w:pPr>
              <w:pStyle w:val="Normal"/>
              <w:rPr>
                <w:rFonts w:eastAsia="Calibri"/>
                <w:color w:val="000000"/>
                <w:highlight w:val="yellow"/>
                <w:lang w:eastAsia="en-US"/>
              </w:rPr>
            </w:pPr>
            <w:r>
              <w:rPr>
                <w:rFonts w:eastAsia="Calibri"/>
                <w:lang w:eastAsia="en-US"/>
              </w:rPr>
              <w:t>3. Работа соответствует требованиям к структуре и оформлению портфолио</w:t>
            </w:r>
          </w:p>
        </w:tc>
        <w:tc>
          <w:tcPr>
            <w:tcW w:w="2567" w:type="dxa"/>
            <w:vMerge w:val="continue"/>
            <w:tcBorders>
              <w:top w:val="single" w:sz="6" w:space="0" w:color="000000"/>
              <w:left w:val="single" w:sz="6" w:space="0" w:color="000000"/>
              <w:right w:val="single" w:sz="6" w:space="0" w:color="000000"/>
            </w:tcBorders>
            <w:tcMar>
              <w:top w:w="140" w:type="dxa"/>
              <w:left w:w="80" w:type="dxa"/>
              <w:bottom w:w="140" w:type="dxa"/>
              <w:right w:w="80" w:type="dxa"/>
            </w:tcMar>
          </w:tcPr>
          <w:p>
            <w:pPr>
              <w:pStyle w:val="Normal"/>
              <w:snapToGrid w:val="false"/>
              <w:ind w:firstLine="113"/>
              <w:rPr>
                <w:rFonts w:eastAsia="Calibri"/>
                <w:color w:val="000000"/>
                <w:highlight w:val="yellow"/>
                <w:lang w:eastAsia="en-US"/>
              </w:rPr>
            </w:pPr>
            <w:r>
              <w:rPr>
                <w:rFonts w:eastAsia="Calibri"/>
                <w:color w:val="000000"/>
                <w:highlight w:val="yellow"/>
                <w:lang w:eastAsia="en-US"/>
              </w:rPr>
            </w:r>
          </w:p>
        </w:tc>
      </w:tr>
      <w:tr>
        <w:trPr>
          <w:trHeight w:val="300" w:hRule="atLeast"/>
        </w:trPr>
        <w:tc>
          <w:tcPr>
            <w:tcW w:w="2065" w:type="dxa"/>
            <w:tcBorders>
              <w:top w:val="single" w:sz="6" w:space="0" w:color="000000"/>
              <w:left w:val="single" w:sz="6" w:space="0" w:color="000000"/>
              <w:bottom w:val="single" w:sz="6" w:space="0" w:color="000000"/>
            </w:tcBorders>
          </w:tcPr>
          <w:p>
            <w:pPr>
              <w:pStyle w:val="Normal"/>
              <w:snapToGrid w:val="false"/>
              <w:ind w:firstLine="113"/>
              <w:rPr>
                <w:rFonts w:ascii="Calibri" w:hAnsi="Calibri" w:eastAsia="Calibri" w:cs="Calibri"/>
                <w:color w:val="000000"/>
                <w:lang w:eastAsia="en-US"/>
              </w:rPr>
            </w:pPr>
            <w:r>
              <w:rPr>
                <w:rFonts w:eastAsia="Calibri" w:cs="Calibri" w:ascii="Calibri" w:hAnsi="Calibri"/>
                <w:color w:val="000000"/>
                <w:lang w:eastAsia="en-US"/>
              </w:rPr>
            </w:r>
          </w:p>
        </w:tc>
        <w:tc>
          <w:tcPr>
            <w:tcW w:w="7386" w:type="dxa"/>
            <w:gridSpan w:val="4"/>
            <w:tcBorders>
              <w:top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113"/>
              <w:jc w:val="center"/>
              <w:rPr>
                <w:rFonts w:eastAsia="Calibri"/>
                <w:b/>
                <w:b/>
                <w:color w:val="000000"/>
                <w:lang w:eastAsia="en-US"/>
              </w:rPr>
            </w:pPr>
            <w:r>
              <w:rPr>
                <w:rFonts w:eastAsia="Calibri"/>
                <w:b/>
                <w:color w:val="000000"/>
                <w:lang w:eastAsia="en-US"/>
              </w:rPr>
              <w:t>Оценка процедуры защиты</w:t>
            </w:r>
          </w:p>
        </w:tc>
      </w:tr>
      <w:tr>
        <w:trPr>
          <w:trHeight w:val="300" w:hRule="atLeast"/>
        </w:trPr>
        <w:tc>
          <w:tcPr>
            <w:tcW w:w="3624" w:type="dxa"/>
            <w:gridSpan w:val="3"/>
            <w:tcBorders>
              <w:top w:val="single" w:sz="6" w:space="0" w:color="000000"/>
              <w:left w:val="single" w:sz="6" w:space="0" w:color="000000"/>
              <w:bottom w:val="single" w:sz="6" w:space="0" w:color="000000"/>
              <w:right w:val="single" w:sz="6" w:space="0" w:color="000000"/>
            </w:tcBorders>
          </w:tcPr>
          <w:p>
            <w:pPr>
              <w:pStyle w:val="Normal"/>
              <w:ind w:firstLine="113"/>
              <w:jc w:val="center"/>
              <w:rPr>
                <w:rFonts w:eastAsia="Calibri"/>
                <w:color w:val="000000"/>
                <w:lang w:eastAsia="en-US"/>
              </w:rPr>
            </w:pPr>
            <w:r>
              <w:rPr>
                <w:rFonts w:eastAsia="Calibri"/>
                <w:color w:val="000000"/>
                <w:lang w:eastAsia="en-US"/>
              </w:rPr>
              <w:t xml:space="preserve">Предмет(ы) </w:t>
            </w:r>
          </w:p>
          <w:p>
            <w:pPr>
              <w:pStyle w:val="Normal"/>
              <w:ind w:firstLine="113"/>
              <w:jc w:val="center"/>
              <w:rPr>
                <w:rFonts w:eastAsia="Calibri"/>
                <w:color w:val="000000"/>
                <w:lang w:eastAsia="en-US"/>
              </w:rPr>
            </w:pPr>
            <w:r>
              <w:rPr>
                <w:rFonts w:eastAsia="Calibri"/>
                <w:color w:val="000000"/>
                <w:lang w:eastAsia="en-US"/>
              </w:rPr>
              <w:t>оценивания*</w:t>
            </w:r>
          </w:p>
        </w:tc>
        <w:tc>
          <w:tcPr>
            <w:tcW w:w="3260"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113"/>
              <w:jc w:val="center"/>
              <w:rPr>
                <w:rFonts w:eastAsia="Calibri"/>
                <w:lang w:eastAsia="en-US"/>
              </w:rPr>
            </w:pPr>
            <w:r>
              <w:rPr>
                <w:rFonts w:eastAsia="Calibri"/>
                <w:lang w:eastAsia="en-US"/>
              </w:rPr>
              <w:t xml:space="preserve">Критерии </w:t>
            </w:r>
          </w:p>
          <w:p>
            <w:pPr>
              <w:pStyle w:val="Normal"/>
              <w:ind w:firstLine="113"/>
              <w:jc w:val="center"/>
              <w:rPr>
                <w:rFonts w:eastAsia="Calibri"/>
                <w:lang w:eastAsia="en-US"/>
              </w:rPr>
            </w:pPr>
            <w:r>
              <w:rPr>
                <w:rFonts w:eastAsia="Calibri"/>
                <w:lang w:eastAsia="en-US"/>
              </w:rPr>
              <w:t>Оценки</w:t>
            </w:r>
          </w:p>
        </w:tc>
        <w:tc>
          <w:tcPr>
            <w:tcW w:w="256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113"/>
              <w:jc w:val="center"/>
              <w:rPr>
                <w:rFonts w:eastAsia="Calibri"/>
                <w:lang w:eastAsia="en-US"/>
              </w:rPr>
            </w:pPr>
            <w:r>
              <w:rPr>
                <w:rFonts w:eastAsia="Calibri"/>
                <w:lang w:eastAsia="en-US"/>
              </w:rPr>
              <w:t>Показатели</w:t>
            </w:r>
          </w:p>
          <w:p>
            <w:pPr>
              <w:pStyle w:val="Normal"/>
              <w:ind w:firstLine="113"/>
              <w:jc w:val="center"/>
              <w:rPr>
                <w:rFonts w:eastAsia="Calibri"/>
                <w:lang w:eastAsia="en-US"/>
              </w:rPr>
            </w:pPr>
            <w:r>
              <w:rPr>
                <w:rFonts w:eastAsia="Calibri"/>
                <w:lang w:eastAsia="en-US"/>
              </w:rPr>
              <w:t>оценки</w:t>
            </w:r>
          </w:p>
        </w:tc>
      </w:tr>
      <w:tr>
        <w:trPr>
          <w:trHeight w:val="300" w:hRule="atLeast"/>
        </w:trPr>
        <w:tc>
          <w:tcPr>
            <w:tcW w:w="3624" w:type="dxa"/>
            <w:gridSpan w:val="3"/>
            <w:tcBorders>
              <w:top w:val="single" w:sz="6" w:space="0" w:color="000000"/>
              <w:left w:val="single" w:sz="6" w:space="0" w:color="000000"/>
              <w:bottom w:val="single" w:sz="6" w:space="0" w:color="000000"/>
              <w:right w:val="single" w:sz="6" w:space="0" w:color="000000"/>
            </w:tcBorders>
          </w:tcPr>
          <w:p>
            <w:pPr>
              <w:pStyle w:val="Normal"/>
              <w:ind w:firstLine="113"/>
              <w:rPr>
                <w:rFonts w:eastAsia="Calibri"/>
                <w:lang w:eastAsia="en-US"/>
              </w:rPr>
            </w:pPr>
            <w:r>
              <w:rPr>
                <w:rFonts w:eastAsia="Calibri"/>
                <w:lang w:eastAsia="en-US"/>
              </w:rPr>
              <w:t>Способность работать в команде, толерантно воспринимать социальные, культурные и личностные различия.</w:t>
            </w:r>
          </w:p>
          <w:p>
            <w:pPr>
              <w:pStyle w:val="Normal"/>
              <w:ind w:firstLine="113"/>
              <w:rPr>
                <w:rFonts w:eastAsia="Calibri"/>
                <w:lang w:eastAsia="en-US"/>
              </w:rPr>
            </w:pPr>
            <w:r>
              <w:rPr>
                <w:rFonts w:eastAsia="Calibri"/>
                <w:lang w:eastAsia="en-US"/>
              </w:rPr>
              <w:t>Способность к самоорганизации и самообразованию.</w:t>
            </w:r>
          </w:p>
          <w:p>
            <w:pPr>
              <w:pStyle w:val="Normal"/>
              <w:ind w:firstLine="113"/>
              <w:rPr>
                <w:rFonts w:eastAsia="Calibri"/>
                <w:color w:val="000000"/>
                <w:lang w:eastAsia="en-US"/>
              </w:rPr>
            </w:pPr>
            <w:r>
              <w:rPr>
                <w:rFonts w:eastAsia="Calibri"/>
                <w:color w:val="000000"/>
                <w:lang w:eastAsia="en-US"/>
              </w:rPr>
              <w:t>Владение навыками эффективной коммуникации и сотрудничества.</w:t>
            </w:r>
          </w:p>
        </w:tc>
        <w:tc>
          <w:tcPr>
            <w:tcW w:w="3260"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113"/>
              <w:rPr>
                <w:lang w:eastAsia="en-US"/>
              </w:rPr>
            </w:pPr>
            <w:r>
              <w:rPr>
                <w:rFonts w:eastAsia="Calibri"/>
                <w:lang w:eastAsia="en-US"/>
              </w:rPr>
              <w:t>–</w:t>
            </w:r>
            <w:r>
              <w:rPr>
                <w:rFonts w:eastAsia="Times New Roman"/>
                <w:lang w:eastAsia="en-US"/>
              </w:rPr>
              <w:t xml:space="preserve"> </w:t>
            </w:r>
            <w:r>
              <w:rPr>
                <w:rFonts w:eastAsia="Calibri"/>
                <w:lang w:eastAsia="en-US"/>
              </w:rPr>
              <w:t>согласованность цели и плана выступления;</w:t>
            </w:r>
          </w:p>
          <w:p>
            <w:pPr>
              <w:pStyle w:val="Normal"/>
              <w:ind w:firstLine="113"/>
              <w:rPr>
                <w:lang w:eastAsia="en-US"/>
              </w:rPr>
            </w:pPr>
            <w:r>
              <w:rPr>
                <w:rFonts w:eastAsia="Calibri"/>
                <w:lang w:eastAsia="en-US"/>
              </w:rPr>
              <w:t>–</w:t>
            </w:r>
            <w:r>
              <w:rPr>
                <w:rFonts w:eastAsia="Times New Roman"/>
                <w:lang w:eastAsia="en-US"/>
              </w:rPr>
              <w:t xml:space="preserve"> </w:t>
            </w:r>
            <w:r>
              <w:rPr>
                <w:rFonts w:eastAsia="Calibri"/>
                <w:lang w:eastAsia="en-US"/>
              </w:rPr>
              <w:t>хорошее владение устной речью и терминологией;</w:t>
            </w:r>
          </w:p>
          <w:p>
            <w:pPr>
              <w:pStyle w:val="Normal"/>
              <w:ind w:firstLine="113"/>
              <w:rPr>
                <w:lang w:eastAsia="en-US"/>
              </w:rPr>
            </w:pPr>
            <w:r>
              <w:rPr>
                <w:rFonts w:eastAsia="Calibri"/>
                <w:lang w:eastAsia="en-US"/>
              </w:rPr>
              <w:t>–</w:t>
            </w:r>
            <w:r>
              <w:rPr>
                <w:rFonts w:eastAsia="Times New Roman"/>
                <w:lang w:eastAsia="en-US"/>
              </w:rPr>
              <w:t xml:space="preserve"> </w:t>
            </w:r>
            <w:r>
              <w:rPr>
                <w:rFonts w:eastAsia="Calibri"/>
                <w:lang w:eastAsia="en-US"/>
              </w:rPr>
              <w:t>умение отвечать на вопросы;</w:t>
            </w:r>
          </w:p>
          <w:p>
            <w:pPr>
              <w:pStyle w:val="Normal"/>
              <w:ind w:firstLine="113"/>
              <w:rPr>
                <w:rFonts w:eastAsia="Calibri"/>
                <w:color w:val="000000"/>
                <w:lang w:eastAsia="en-US"/>
              </w:rPr>
            </w:pPr>
            <w:r>
              <w:rPr>
                <w:rFonts w:eastAsia="Calibri"/>
                <w:lang w:eastAsia="en-US"/>
              </w:rPr>
              <w:t>–</w:t>
            </w:r>
            <w:r>
              <w:rPr>
                <w:rFonts w:eastAsia="Times New Roman"/>
                <w:lang w:eastAsia="en-US"/>
              </w:rPr>
              <w:t xml:space="preserve"> </w:t>
            </w:r>
            <w:r>
              <w:rPr>
                <w:rFonts w:eastAsia="Calibri"/>
                <w:lang w:eastAsia="en-US"/>
              </w:rPr>
              <w:t>адекватная самооценка деятельности при выполнении работы.</w:t>
            </w:r>
          </w:p>
        </w:tc>
        <w:tc>
          <w:tcPr>
            <w:tcW w:w="256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113"/>
              <w:rPr>
                <w:rFonts w:eastAsia="Calibri"/>
                <w:color w:val="000000"/>
                <w:lang w:eastAsia="en-US"/>
              </w:rPr>
            </w:pPr>
            <w:r>
              <w:rPr>
                <w:rFonts w:eastAsia="Calibri"/>
                <w:lang w:eastAsia="en-US"/>
              </w:rPr>
              <w:t>Полностью или частично по всем критериям</w:t>
            </w:r>
          </w:p>
        </w:tc>
      </w:tr>
    </w:tbl>
    <w:p>
      <w:pPr>
        <w:pStyle w:val="Normal"/>
        <w:tabs>
          <w:tab w:val="clear" w:pos="708"/>
          <w:tab w:val="left" w:pos="720" w:leader="none"/>
        </w:tabs>
        <w:spacing w:lineRule="auto" w:line="357"/>
        <w:ind w:right="76" w:firstLine="567"/>
        <w:jc w:val="both"/>
        <w:rPr>
          <w:sz w:val="24"/>
        </w:rPr>
      </w:pPr>
      <w:r>
        <w:rPr>
          <w:sz w:val="24"/>
        </w:rPr>
      </w:r>
    </w:p>
    <w:p>
      <w:pPr>
        <w:pStyle w:val="Normal"/>
        <w:tabs>
          <w:tab w:val="clear" w:pos="708"/>
          <w:tab w:val="left" w:pos="720" w:leader="none"/>
        </w:tabs>
        <w:spacing w:lineRule="auto" w:line="357"/>
        <w:ind w:right="76" w:firstLine="567"/>
        <w:jc w:val="both"/>
        <w:rPr/>
      </w:pPr>
      <w:r>
        <w:rPr>
          <w:sz w:val="24"/>
        </w:rPr>
        <w:t>В рамках РИП по данной программе обучено 25 педагогов 18 образовательных организаций Выборгского района, 7 специалистов ГБУ ДО ЦППМСП.</w:t>
      </w:r>
    </w:p>
    <w:p>
      <w:pPr>
        <w:pStyle w:val="Normal"/>
        <w:tabs>
          <w:tab w:val="clear" w:pos="708"/>
          <w:tab w:val="left" w:pos="720" w:leader="none"/>
        </w:tabs>
        <w:spacing w:lineRule="auto" w:line="357"/>
        <w:ind w:right="76" w:firstLine="567"/>
        <w:jc w:val="both"/>
        <w:rPr>
          <w:rFonts w:eastAsia="Calibri"/>
          <w:sz w:val="24"/>
          <w:szCs w:val="24"/>
          <w:lang w:eastAsia="en-US"/>
        </w:rPr>
      </w:pPr>
      <w:r>
        <w:rPr>
          <w:sz w:val="24"/>
        </w:rPr>
        <w:t xml:space="preserve">Слушателям был предложен </w:t>
      </w:r>
      <w:r>
        <w:rPr>
          <w:rFonts w:eastAsia="Calibri"/>
          <w:sz w:val="24"/>
          <w:szCs w:val="24"/>
          <w:lang w:eastAsia="en-US"/>
        </w:rPr>
        <w:t xml:space="preserve">пакет диагностики мишеней психолого-педагогической компенсации дефицитарных функций, эмоционально-волевых, личностных и поведенческих особенностей ребенка с СДВГ и педагогического компонент для разработки содержания индивидуальной программы обучения, технологий и методов, способствующих преодолению СДВГ у обучающихся, разработанный рамках опытно-экспериментальной работы по теме: </w:t>
      </w:r>
      <w:r>
        <w:rPr>
          <w:rFonts w:eastAsia="Calibri"/>
          <w:bCs/>
          <w:sz w:val="24"/>
          <w:szCs w:val="24"/>
          <w:lang w:eastAsia="en-US"/>
        </w:rPr>
        <w:t xml:space="preserve">«Совершенствование условий организации и осуществления образовательного процесса для преодоления синдрома дефицита внимания и гиперактивности у обучающихся» </w:t>
      </w:r>
      <w:r>
        <w:rPr>
          <w:rFonts w:eastAsia="Calibri"/>
          <w:bCs/>
          <w:sz w:val="24"/>
          <w:szCs w:val="24"/>
        </w:rPr>
        <w:t>для решения задачи: «</w:t>
      </w:r>
      <w:r>
        <w:rPr>
          <w:rFonts w:eastAsia="Calibri"/>
          <w:sz w:val="24"/>
          <w:szCs w:val="24"/>
          <w:lang w:eastAsia="en-US"/>
        </w:rPr>
        <w:t>Разработка критериев диагностики мишеней психолого-педагогической коррекции и педагогического компонента для разработки содержания индивидуальной программы обучения, технологий и методов, способствующих преодолению СДВГ у обучающихся в образовательном процессе». [24]</w:t>
      </w:r>
    </w:p>
    <w:p>
      <w:pPr>
        <w:pStyle w:val="Normal"/>
        <w:tabs>
          <w:tab w:val="clear" w:pos="708"/>
          <w:tab w:val="left" w:pos="993" w:leader="none"/>
        </w:tabs>
        <w:spacing w:lineRule="auto" w:line="360"/>
        <w:ind w:firstLine="567"/>
        <w:jc w:val="both"/>
        <w:rPr>
          <w:rFonts w:eastAsia="Calibri"/>
          <w:sz w:val="24"/>
          <w:szCs w:val="24"/>
          <w:lang w:eastAsia="en-US"/>
        </w:rPr>
      </w:pPr>
      <w:r>
        <w:rPr>
          <w:rFonts w:eastAsia="Calibri"/>
          <w:sz w:val="24"/>
          <w:szCs w:val="24"/>
          <w:lang w:eastAsia="en-US"/>
        </w:rPr>
        <w:t>В рамках ОЭР наибольшее внимание было уделено формированию личностных и метапредметных результатов освоения обучающимися основной образовательной программы, которые в определенной степени будут способствовать повышению предметных результатов обучения. Образовательный стандарт устанавливает требования (личностные, метапредметные, предметные) к результатам освоения обучающимися основной образовательной программы.</w:t>
      </w:r>
    </w:p>
    <w:p>
      <w:pPr>
        <w:pStyle w:val="Normal"/>
        <w:tabs>
          <w:tab w:val="clear" w:pos="708"/>
          <w:tab w:val="left" w:pos="993" w:leader="none"/>
        </w:tabs>
        <w:spacing w:lineRule="auto" w:line="360"/>
        <w:ind w:firstLine="567"/>
        <w:jc w:val="both"/>
        <w:rPr>
          <w:rFonts w:eastAsia="Calibri"/>
          <w:sz w:val="24"/>
          <w:szCs w:val="24"/>
          <w:lang w:eastAsia="en-US"/>
        </w:rPr>
      </w:pPr>
      <w:r>
        <w:rPr>
          <w:rFonts w:eastAsia="Calibri"/>
          <w:sz w:val="24"/>
          <w:szCs w:val="24"/>
          <w:lang w:eastAsia="en-US"/>
        </w:rPr>
        <w:t>Личностные результаты включают в себя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pPr>
        <w:pStyle w:val="Normal"/>
        <w:tabs>
          <w:tab w:val="clear" w:pos="708"/>
          <w:tab w:val="left" w:pos="993" w:leader="none"/>
        </w:tabs>
        <w:spacing w:lineRule="auto" w:line="360"/>
        <w:ind w:firstLine="567"/>
        <w:jc w:val="both"/>
        <w:rPr>
          <w:rFonts w:eastAsia="Calibri"/>
          <w:sz w:val="24"/>
          <w:szCs w:val="24"/>
          <w:lang w:eastAsia="en-US"/>
        </w:rPr>
      </w:pPr>
      <w:r>
        <w:rPr>
          <w:rFonts w:eastAsia="Calibri"/>
          <w:sz w:val="24"/>
          <w:szCs w:val="24"/>
          <w:lang w:eastAsia="en-US"/>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pPr>
        <w:pStyle w:val="Normal"/>
        <w:tabs>
          <w:tab w:val="clear" w:pos="708"/>
          <w:tab w:val="left" w:pos="993" w:leader="none"/>
        </w:tabs>
        <w:spacing w:lineRule="auto" w:line="360"/>
        <w:ind w:firstLine="567"/>
        <w:jc w:val="both"/>
        <w:rPr/>
      </w:pPr>
      <w:r>
        <w:rPr>
          <w:rFonts w:eastAsia="Calibri"/>
          <w:sz w:val="24"/>
          <w:szCs w:val="24"/>
          <w:lang w:eastAsia="en-US"/>
        </w:rPr>
        <w:t xml:space="preserve">Для преодоления трудностей, которые испытывают обучающиеся с СДВГ в образовательном процессе, необходимо определить основные мишени психолого-педагогической коррекции и содержание педагогического компонента индивидуализации обучения, для разработки содержания индивидуальной программы обучения. </w:t>
      </w:r>
    </w:p>
    <w:p>
      <w:pPr>
        <w:pStyle w:val="Normal"/>
        <w:tabs>
          <w:tab w:val="clear" w:pos="708"/>
          <w:tab w:val="left" w:pos="993" w:leader="none"/>
        </w:tabs>
        <w:spacing w:lineRule="auto" w:line="360"/>
        <w:ind w:firstLine="567"/>
        <w:jc w:val="both"/>
        <w:rPr>
          <w:rFonts w:ascii="Calibri" w:hAnsi="Calibri" w:eastAsia="Calibri" w:cs="Calibri"/>
          <w:lang w:eastAsia="en-US"/>
        </w:rPr>
      </w:pPr>
      <w:r>
        <w:rPr>
          <w:rFonts w:eastAsia="Calibri"/>
          <w:sz w:val="24"/>
          <w:szCs w:val="24"/>
          <w:lang w:eastAsia="en-US"/>
        </w:rPr>
        <w:t>Под понятием «мишень» предлагается рассматривать проявляемый в процессе психолого-педагогической работы феномен, изменение которого является целью воздействия на конкретном этапе коррекционного процесса.</w:t>
      </w:r>
    </w:p>
    <w:p>
      <w:pPr>
        <w:pStyle w:val="Normal"/>
        <w:tabs>
          <w:tab w:val="clear" w:pos="708"/>
          <w:tab w:val="left" w:pos="993" w:leader="none"/>
        </w:tabs>
        <w:spacing w:lineRule="auto" w:line="360"/>
        <w:ind w:firstLine="567"/>
        <w:jc w:val="both"/>
        <w:rPr>
          <w:rFonts w:eastAsia="Calibri"/>
          <w:sz w:val="24"/>
          <w:szCs w:val="24"/>
          <w:lang w:eastAsia="en-US"/>
        </w:rPr>
      </w:pPr>
      <w:r>
        <w:rPr>
          <w:rFonts w:eastAsia="Calibri"/>
          <w:sz w:val="24"/>
          <w:szCs w:val="24"/>
          <w:lang w:eastAsia="en-US"/>
        </w:rPr>
        <w:t xml:space="preserve">Уровневый подход в диагностике ребенка объединяет в себе как качественный, так и количественный подходы в диагностике расстройств поведения и эмоций у детей, что отражено в диагностическом инструменте предложенного для данного исследования. </w:t>
      </w:r>
    </w:p>
    <w:p>
      <w:pPr>
        <w:pStyle w:val="Normal"/>
        <w:tabs>
          <w:tab w:val="clear" w:pos="708"/>
          <w:tab w:val="left" w:pos="993" w:leader="none"/>
        </w:tabs>
        <w:spacing w:lineRule="auto" w:line="360"/>
        <w:ind w:firstLine="567"/>
        <w:jc w:val="both"/>
        <w:rPr>
          <w:rFonts w:eastAsia="Calibri"/>
          <w:sz w:val="24"/>
          <w:szCs w:val="24"/>
          <w:lang w:eastAsia="en-US"/>
        </w:rPr>
      </w:pPr>
      <w:r>
        <w:rPr>
          <w:rFonts w:eastAsia="Calibri"/>
          <w:sz w:val="24"/>
          <w:szCs w:val="24"/>
          <w:lang w:eastAsia="en-US"/>
        </w:rPr>
        <w:t>Когда педагог оценивает расстройство поведения и эмоций у ребенка, то он ориентируется на разнообразные признаки расстройства: общие, специфические, комплексные, характерные для состояния ситуационные и личностные реакции ребенка.</w:t>
      </w:r>
    </w:p>
    <w:p>
      <w:pPr>
        <w:pStyle w:val="Normal"/>
        <w:tabs>
          <w:tab w:val="clear" w:pos="708"/>
          <w:tab w:val="left" w:pos="993" w:leader="none"/>
        </w:tabs>
        <w:spacing w:lineRule="auto" w:line="360"/>
        <w:ind w:firstLine="567"/>
        <w:jc w:val="both"/>
        <w:rPr>
          <w:rFonts w:eastAsia="Calibri"/>
          <w:sz w:val="24"/>
          <w:szCs w:val="24"/>
          <w:lang w:eastAsia="en-US"/>
        </w:rPr>
      </w:pPr>
      <w:r>
        <w:rPr>
          <w:rFonts w:eastAsia="Calibri"/>
          <w:sz w:val="24"/>
          <w:szCs w:val="24"/>
          <w:lang w:eastAsia="en-US"/>
        </w:rPr>
        <w:t>Уровень 0. Это отсутствие ситуационных и личностных реакций конкретного состояния, расстройства.</w:t>
      </w:r>
    </w:p>
    <w:p>
      <w:pPr>
        <w:pStyle w:val="Normal"/>
        <w:tabs>
          <w:tab w:val="clear" w:pos="708"/>
          <w:tab w:val="left" w:pos="993" w:leader="none"/>
        </w:tabs>
        <w:spacing w:lineRule="auto" w:line="360"/>
        <w:ind w:firstLine="567"/>
        <w:jc w:val="both"/>
        <w:rPr/>
      </w:pPr>
      <w:r>
        <w:rPr>
          <w:rFonts w:eastAsia="Calibri"/>
          <w:sz w:val="24"/>
          <w:szCs w:val="24"/>
          <w:lang w:eastAsia="en-US"/>
        </w:rPr>
        <w:t>Уровень 1. Это уровень нормального функционального состояния, когда ситуационные и личностные реакции оппозиционно-вызывающего поведения, эмоциональной неустойчивости, гиперактивного, дурашливого, заторможенного, застревающего поведения, тревожно-зависимых и депрессивных расстройств, эмоциональной отгороженности преодолеваются самим ребенком или при незначительной психолого-педагогической помощи со стороны взрослого. Характерно отсутствие устойчивых вегето-инстинктивных, психосоматических, резидуально-органических признаков состояния.</w:t>
      </w:r>
    </w:p>
    <w:p>
      <w:pPr>
        <w:pStyle w:val="Normal"/>
        <w:tabs>
          <w:tab w:val="clear" w:pos="708"/>
          <w:tab w:val="left" w:pos="993" w:leader="none"/>
        </w:tabs>
        <w:spacing w:lineRule="auto" w:line="360"/>
        <w:ind w:firstLine="567"/>
        <w:jc w:val="both"/>
        <w:rPr/>
      </w:pPr>
      <w:r>
        <w:rPr>
          <w:rFonts w:eastAsia="Calibri"/>
          <w:sz w:val="24"/>
          <w:szCs w:val="24"/>
          <w:lang w:eastAsia="en-US"/>
        </w:rPr>
        <w:t>Уровень 2. Это уровень невротических, функционально обратимых состояний, требующих значительную психолого-педагогическую помощь взрослого. Расстройство, состояние, проявляется, как нарушение общепринятых норм поведения, взаимоотношений и взаимодействия с другими людьми. При отсутствии выраженных расстройств интеллекта характерно использование ребенком своего психоэмоционального состояния, как средства для получения манипулятивной выгоды. Расстройства поведения и эмоций, как правило, должны наблюдаться не менее шести месяцев.</w:t>
      </w:r>
    </w:p>
    <w:p>
      <w:pPr>
        <w:pStyle w:val="Normal"/>
        <w:tabs>
          <w:tab w:val="clear" w:pos="708"/>
          <w:tab w:val="left" w:pos="993" w:leader="none"/>
        </w:tabs>
        <w:spacing w:lineRule="auto" w:line="360"/>
        <w:ind w:firstLine="567"/>
        <w:jc w:val="both"/>
        <w:rPr/>
      </w:pPr>
      <w:r>
        <w:rPr>
          <w:rFonts w:eastAsia="Calibri"/>
          <w:sz w:val="24"/>
          <w:szCs w:val="24"/>
          <w:lang w:eastAsia="en-US"/>
        </w:rPr>
        <w:t>Уровень 3. Ребенку требуется значительная психолого-педагогическая помощь, позволяющая корректировать его поведение. Это косвенно указывает на необходимость медикаментозной помощи ребенку. Проявление расстройства за пределами привычных социальных групп (семьи, группы детского сада, класса). Наблюдается соматизация и присоединение других расстройств к основному. Опасность закрепления реакций как патохарактерологических.</w:t>
      </w:r>
    </w:p>
    <w:p>
      <w:pPr>
        <w:pStyle w:val="Normal"/>
        <w:tabs>
          <w:tab w:val="clear" w:pos="708"/>
          <w:tab w:val="left" w:pos="993" w:leader="none"/>
        </w:tabs>
        <w:spacing w:lineRule="auto" w:line="360"/>
        <w:ind w:firstLine="567"/>
        <w:jc w:val="both"/>
        <w:rPr/>
      </w:pPr>
      <w:r>
        <w:rPr>
          <w:rFonts w:eastAsia="Calibri"/>
          <w:sz w:val="24"/>
          <w:szCs w:val="24"/>
          <w:lang w:eastAsia="en-US"/>
        </w:rPr>
        <w:t>Уровень 4. Включает в себя характеристику 3-го уровня. В большей степени характеризует острое и (или) длительное, приступообразное состояние, когда требуется медикаментозная помощь ребенку. Психолого-педагогическая коррекционная помощь взрослого очень значительна и почти не оказывает влияния на поведение ребенка. Состояние характеризуется: низкой способностью к саморегуляции; неспособностью сосредоточиться; нецеленаправленным, импульсивным полевым поведением; аутоагрессией; социальной опасностью или угрозой для здоровья ребенка и окружающих; закреплением реакций как патохарактерологических. Критика и чувство вины за особенное или нарушенное поведение отсутствуют. Негативизм в виде выраженных отказов, дурашливость, демонстративные реакции выраженного истероидного характера с возможными падениями, ударами об пол, криками в ответ на требования взрослого, обидчивость, застреваемость на негативных чувствах, враждебность могут быстро переходить в физическую агрессию, мстительность, стремление нанести вред другим, себе, испортить имущество. Эмоциональная отгороженность, переходящая в черствость, с восприятием людей, как неодушевленных предметов, с грубой недостаточностью социальных эмоций, крайним эгоцентризмом и эгоизмом. Для ребенка характерно психомоторное возбуждение, неспособность усидеть на месте, стремление бегать, громко и быстро говорить, или наоборот, заторможенность в движениях, зрительном восприятии, познавательной деятельности. Страхи сверхценно-боязливого отношения к объектам и явлениям с выраженной тревогой, обманами восприятия. Неспособность к продуктивной предметно-практической и другой деятельности.</w:t>
      </w:r>
    </w:p>
    <w:p>
      <w:pPr>
        <w:pStyle w:val="Normal"/>
        <w:tabs>
          <w:tab w:val="clear" w:pos="708"/>
          <w:tab w:val="left" w:pos="993" w:leader="none"/>
        </w:tabs>
        <w:spacing w:lineRule="auto" w:line="360"/>
        <w:ind w:firstLine="567"/>
        <w:jc w:val="both"/>
        <w:rPr/>
      </w:pPr>
      <w:r>
        <w:rPr>
          <w:rFonts w:eastAsia="Calibri"/>
          <w:sz w:val="24"/>
          <w:szCs w:val="24"/>
          <w:lang w:eastAsia="en-US"/>
        </w:rPr>
        <w:t>В рамках ОЭР были определены компоненты мишеней психолого-педагогической коррекции познавательной и мотивационной, эмоционально-волевой, социально-коммуникативной и поведенческой сферы для преодоления симптомов СДВГ у обучающихся в образовательном процессе. На рисунке 1 отражены схематично данные компоненты мишеней психолого-педагогической коррекции.</w:t>
      </w:r>
    </w:p>
    <w:p>
      <w:pPr>
        <w:pStyle w:val="Normal"/>
        <w:tabs>
          <w:tab w:val="clear" w:pos="708"/>
          <w:tab w:val="left" w:pos="993" w:leader="none"/>
        </w:tabs>
        <w:spacing w:lineRule="auto" w:line="360"/>
        <w:ind w:firstLine="567"/>
        <w:jc w:val="both"/>
        <w:rPr>
          <w:rFonts w:ascii="Calibri" w:hAnsi="Calibri" w:eastAsia="Calibri" w:cs="Calibri"/>
          <w:sz w:val="20"/>
          <w:szCs w:val="20"/>
          <w:lang w:eastAsia="en-US"/>
        </w:rPr>
      </w:pPr>
      <w:r>
        <w:rPr>
          <w:rFonts w:eastAsia="Calibri" w:cs="Calibri" w:ascii="Calibri" w:hAnsi="Calibri"/>
          <w:sz w:val="20"/>
          <w:szCs w:val="20"/>
          <w:lang w:eastAsia="en-US"/>
        </w:rPr>
      </w:r>
    </w:p>
    <w:p>
      <w:pPr>
        <w:pStyle w:val="Normal"/>
        <w:spacing w:lineRule="auto" w:line="360"/>
        <w:jc w:val="center"/>
        <w:rPr>
          <w:rFonts w:ascii="Calibri" w:hAnsi="Calibri" w:eastAsia="Calibri" w:cs="Calibri"/>
          <w:sz w:val="20"/>
          <w:szCs w:val="20"/>
          <w:lang w:eastAsia="en-US"/>
        </w:rPr>
      </w:pPr>
      <w:r>
        <w:rPr>
          <w:rFonts w:eastAsia="Calibri" w:cs="Calibri" w:ascii="Calibri" w:hAnsi="Calibri"/>
          <w:sz w:val="20"/>
          <w:szCs w:val="20"/>
          <w:lang w:val="en-US" w:eastAsia="en-US"/>
        </w:rPr>
        <w:drawing>
          <wp:inline distT="0" distB="0" distL="0" distR="0">
            <wp:extent cx="6072505" cy="2922270"/>
            <wp:effectExtent l="0" t="0" r="0" b="0"/>
            <wp:docPr id="1" name="Схема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2" descr=""/>
                    <pic:cNvPicPr>
                      <a:picLocks noChangeAspect="1" noChangeArrowheads="1"/>
                    </pic:cNvPicPr>
                  </pic:nvPicPr>
                  <pic:blipFill>
                    <a:blip r:embed="rId2"/>
                    <a:srcRect l="-4" t="-7" r="-4" b="-7"/>
                    <a:stretch>
                      <a:fillRect/>
                    </a:stretch>
                  </pic:blipFill>
                  <pic:spPr bwMode="auto">
                    <a:xfrm>
                      <a:off x="0" y="0"/>
                      <a:ext cx="6072505" cy="2922270"/>
                    </a:xfrm>
                    <a:prstGeom prst="rect">
                      <a:avLst/>
                    </a:prstGeom>
                  </pic:spPr>
                </pic:pic>
              </a:graphicData>
            </a:graphic>
          </wp:inline>
        </w:drawing>
      </w:r>
    </w:p>
    <w:p>
      <w:pPr>
        <w:pStyle w:val="Normal"/>
        <w:spacing w:lineRule="auto" w:line="276" w:before="0" w:after="200"/>
        <w:jc w:val="right"/>
        <w:rPr>
          <w:rFonts w:eastAsia="Calibri"/>
          <w:b/>
          <w:b/>
          <w:sz w:val="24"/>
          <w:szCs w:val="24"/>
          <w:lang w:eastAsia="en-US"/>
        </w:rPr>
      </w:pPr>
      <w:r>
        <w:rPr>
          <w:rFonts w:eastAsia="Calibri"/>
          <w:b/>
          <w:sz w:val="24"/>
          <w:szCs w:val="24"/>
          <w:lang w:eastAsia="en-US"/>
        </w:rPr>
        <w:t>Рисунок 1. Компоненты мишеней психолого-педагогической коррекции для преодоления симптомов СДВГ у обучающихся в образовательном процессе</w:t>
      </w:r>
    </w:p>
    <w:p>
      <w:pPr>
        <w:pStyle w:val="Normal"/>
        <w:spacing w:lineRule="auto" w:line="360"/>
        <w:ind w:firstLine="567"/>
        <w:jc w:val="both"/>
        <w:rPr>
          <w:rFonts w:eastAsia="Calibri"/>
          <w:b/>
          <w:b/>
          <w:sz w:val="24"/>
          <w:szCs w:val="24"/>
          <w:lang w:eastAsia="en-US"/>
        </w:rPr>
      </w:pPr>
      <w:r>
        <w:rPr>
          <w:rFonts w:eastAsia="Calibri"/>
          <w:b/>
          <w:sz w:val="24"/>
          <w:szCs w:val="24"/>
          <w:lang w:eastAsia="en-US"/>
        </w:rPr>
      </w:r>
    </w:p>
    <w:p>
      <w:pPr>
        <w:pStyle w:val="Normal"/>
        <w:spacing w:lineRule="auto" w:line="360"/>
        <w:ind w:firstLine="567"/>
        <w:jc w:val="both"/>
        <w:rPr/>
      </w:pPr>
      <w:r>
        <w:rPr>
          <w:rFonts w:eastAsia="Calibri"/>
          <w:sz w:val="24"/>
          <w:szCs w:val="24"/>
          <w:lang w:eastAsia="en-US"/>
        </w:rPr>
        <w:t xml:space="preserve">Диагностические материалы по определению мишеней психолого-педагогической коррекции </w:t>
      </w:r>
      <w:r>
        <w:rPr>
          <w:rFonts w:eastAsia="Calibri"/>
          <w:bCs/>
          <w:sz w:val="24"/>
          <w:szCs w:val="24"/>
          <w:lang w:eastAsia="en-US"/>
        </w:rPr>
        <w:t xml:space="preserve">дефицитарных функций, </w:t>
      </w:r>
      <w:r>
        <w:rPr>
          <w:rFonts w:eastAsia="Calibri"/>
          <w:sz w:val="24"/>
          <w:szCs w:val="24"/>
          <w:lang w:eastAsia="en-US"/>
        </w:rPr>
        <w:t>э</w:t>
      </w:r>
      <w:r>
        <w:rPr>
          <w:rFonts w:eastAsia="Calibri"/>
          <w:bCs/>
          <w:sz w:val="24"/>
          <w:szCs w:val="24"/>
          <w:lang w:eastAsia="en-US"/>
        </w:rPr>
        <w:t xml:space="preserve">моционально-волевых, личностных и поведенческих особенностей </w:t>
      </w:r>
      <w:r>
        <w:rPr>
          <w:rFonts w:eastAsia="Calibri"/>
          <w:sz w:val="24"/>
          <w:szCs w:val="24"/>
          <w:lang w:eastAsia="en-US"/>
        </w:rPr>
        <w:t>и педагогического компонента, включают в себя психологические, социально-психологические и социологические методики, т.к. на этапе апробации для разработки рекомендаций для педагогов необходимо проводить оценку результативности применения рекомендуемых условий образовательного процесса для преодоления и коррекции дефицитарных функций у обучающихся с СДВГ с помощью валидных и нормированных методов и методик.</w:t>
      </w:r>
    </w:p>
    <w:p>
      <w:pPr>
        <w:pStyle w:val="Normal"/>
        <w:spacing w:lineRule="auto" w:line="360"/>
        <w:ind w:firstLine="567"/>
        <w:jc w:val="both"/>
        <w:rPr/>
      </w:pPr>
      <w:r>
        <w:rPr>
          <w:rFonts w:eastAsia="Calibri"/>
          <w:sz w:val="24"/>
          <w:szCs w:val="24"/>
          <w:lang w:eastAsia="en-US"/>
        </w:rPr>
        <w:t>Цель данного диагностического пакета – исследование обучающихся с СДВГ для подбора технологий и методов, способствующих преодолению СДВГ у обучающихся 7-14 лет (1-7 класс).</w:t>
      </w:r>
    </w:p>
    <w:p>
      <w:pPr>
        <w:pStyle w:val="Normal"/>
        <w:spacing w:lineRule="auto" w:line="276" w:before="0" w:after="200"/>
        <w:jc w:val="right"/>
        <w:rPr/>
      </w:pPr>
      <w:r>
        <w:rPr>
          <w:rFonts w:eastAsia="Calibri"/>
          <w:b/>
          <w:sz w:val="24"/>
          <w:szCs w:val="24"/>
          <w:lang w:eastAsia="en-US"/>
        </w:rPr>
        <w:t>Перечень диагностических методик для исследования мишеней психолого-педагогической работы с обучающимися с СДВГ с учетом возраста обучающихся</w:t>
        <w:tab/>
      </w:r>
      <w:r>
        <w:rPr/>
        <w:tab/>
        <w:tab/>
        <w:tab/>
        <w:tab/>
        <w:t>Таблица 1.</w:t>
      </w:r>
    </w:p>
    <w:tbl>
      <w:tblPr>
        <w:tblW w:w="9508" w:type="dxa"/>
        <w:jc w:val="left"/>
        <w:tblInd w:w="-152" w:type="dxa"/>
        <w:tblLayout w:type="fixed"/>
        <w:tblCellMar>
          <w:top w:w="0" w:type="dxa"/>
          <w:left w:w="108" w:type="dxa"/>
          <w:bottom w:w="0" w:type="dxa"/>
          <w:right w:w="108" w:type="dxa"/>
        </w:tblCellMar>
      </w:tblPr>
      <w:tblGrid>
        <w:gridCol w:w="426"/>
        <w:gridCol w:w="1276"/>
        <w:gridCol w:w="1417"/>
        <w:gridCol w:w="1418"/>
        <w:gridCol w:w="1842"/>
        <w:gridCol w:w="3129"/>
      </w:tblGrid>
      <w:tr>
        <w:trPr/>
        <w:tc>
          <w:tcPr>
            <w:tcW w:w="426"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w:t>
            </w:r>
          </w:p>
        </w:tc>
        <w:tc>
          <w:tcPr>
            <w:tcW w:w="1276" w:type="dxa"/>
            <w:tcBorders>
              <w:top w:val="single" w:sz="4" w:space="0" w:color="000000"/>
              <w:left w:val="single" w:sz="4" w:space="0" w:color="000000"/>
              <w:bottom w:val="single" w:sz="4" w:space="0" w:color="000000"/>
              <w:right w:val="single" w:sz="4" w:space="0" w:color="000000"/>
            </w:tcBorders>
          </w:tcPr>
          <w:p>
            <w:pPr>
              <w:pStyle w:val="Normal"/>
              <w:rPr>
                <w:rFonts w:eastAsia="Calibri"/>
                <w:strike/>
                <w:lang w:eastAsia="en-US"/>
              </w:rPr>
            </w:pPr>
            <w:r>
              <w:rPr>
                <w:rFonts w:eastAsia="Calibri"/>
                <w:lang w:eastAsia="en-US"/>
              </w:rPr>
              <w:t>Участники образовательных отношений</w:t>
            </w:r>
          </w:p>
        </w:tc>
        <w:tc>
          <w:tcPr>
            <w:tcW w:w="1417"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Мишень психолого-педагогической коррекции</w:t>
            </w:r>
          </w:p>
        </w:tc>
        <w:tc>
          <w:tcPr>
            <w:tcW w:w="1418"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Цели диагностики</w:t>
            </w:r>
          </w:p>
        </w:tc>
        <w:tc>
          <w:tcPr>
            <w:tcW w:w="1842"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Возрастная группа</w:t>
            </w:r>
          </w:p>
        </w:tc>
        <w:tc>
          <w:tcPr>
            <w:tcW w:w="3129"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Диагностические методики</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1.</w:t>
            </w:r>
          </w:p>
        </w:tc>
        <w:tc>
          <w:tcPr>
            <w:tcW w:w="1276"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Родители</w:t>
            </w:r>
          </w:p>
        </w:tc>
        <w:tc>
          <w:tcPr>
            <w:tcW w:w="1417"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Поведенческая сфера</w:t>
            </w:r>
          </w:p>
        </w:tc>
        <w:tc>
          <w:tcPr>
            <w:tcW w:w="1418"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Определение особенностей поведенческих проявлений, возможности коррекции</w:t>
            </w:r>
          </w:p>
        </w:tc>
        <w:tc>
          <w:tcPr>
            <w:tcW w:w="1842"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Все возрастные группы</w:t>
            </w:r>
          </w:p>
        </w:tc>
        <w:tc>
          <w:tcPr>
            <w:tcW w:w="3129"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 xml:space="preserve">Методика - «Опросник Т. Ахенбаха» </w:t>
            </w:r>
          </w:p>
          <w:p>
            <w:pPr>
              <w:pStyle w:val="Normal"/>
              <w:rPr>
                <w:rFonts w:eastAsia="Calibri"/>
                <w:lang w:eastAsia="en-US"/>
              </w:rPr>
            </w:pPr>
            <w:r>
              <w:rPr>
                <w:rFonts w:eastAsia="Calibri"/>
                <w:lang w:eastAsia="en-US"/>
              </w:rPr>
              <w:t>(заполняется родителем/ законным представителем)</w:t>
            </w:r>
          </w:p>
          <w:p>
            <w:pPr>
              <w:pStyle w:val="Normal"/>
              <w:jc w:val="both"/>
              <w:rPr>
                <w:rFonts w:eastAsia="Calibri"/>
                <w:color w:val="000000"/>
                <w:lang w:eastAsia="en-US"/>
              </w:rPr>
            </w:pPr>
            <w:r>
              <w:rPr>
                <w:rFonts w:eastAsia="Calibri"/>
                <w:color w:val="000000"/>
                <w:lang w:eastAsia="en-US"/>
              </w:rPr>
              <w:t xml:space="preserve">ребенка </w:t>
            </w:r>
          </w:p>
          <w:p>
            <w:pPr>
              <w:pStyle w:val="Normal"/>
              <w:jc w:val="both"/>
              <w:rPr>
                <w:rFonts w:eastAsia="Calibri"/>
                <w:lang w:eastAsia="en-US"/>
              </w:rPr>
            </w:pPr>
            <w:r>
              <w:rPr>
                <w:rFonts w:eastAsia="Calibri"/>
                <w:color w:val="000000"/>
                <w:lang w:eastAsia="en-US"/>
              </w:rPr>
              <w:t>Опросник. Ребенок глазами взрослого (Примерная схема наблюдения за поведением ребенка)</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2.</w:t>
            </w:r>
          </w:p>
        </w:tc>
        <w:tc>
          <w:tcPr>
            <w:tcW w:w="1276"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Педагоги</w:t>
            </w:r>
          </w:p>
        </w:tc>
        <w:tc>
          <w:tcPr>
            <w:tcW w:w="1417"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Поведенческая сфера</w:t>
            </w:r>
          </w:p>
        </w:tc>
        <w:tc>
          <w:tcPr>
            <w:tcW w:w="1418"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Определение особенностей поведенческих проявлений, возможности коррекции</w:t>
            </w:r>
          </w:p>
        </w:tc>
        <w:tc>
          <w:tcPr>
            <w:tcW w:w="1842"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Все возрастные группы</w:t>
            </w:r>
          </w:p>
        </w:tc>
        <w:tc>
          <w:tcPr>
            <w:tcW w:w="3129"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 xml:space="preserve">Методика - «Опросник Т. Ахенбаха» </w:t>
            </w:r>
          </w:p>
          <w:p>
            <w:pPr>
              <w:pStyle w:val="Normal"/>
              <w:rPr>
                <w:rFonts w:eastAsia="Calibri"/>
                <w:lang w:eastAsia="en-US"/>
              </w:rPr>
            </w:pPr>
            <w:r>
              <w:rPr>
                <w:rFonts w:eastAsia="Calibri"/>
                <w:lang w:eastAsia="en-US"/>
              </w:rPr>
              <w:t>(заполняется педагогом)</w:t>
            </w:r>
          </w:p>
          <w:p>
            <w:pPr>
              <w:pStyle w:val="Normal"/>
              <w:jc w:val="both"/>
              <w:rPr>
                <w:rFonts w:eastAsia="Calibri"/>
                <w:lang w:eastAsia="en-US"/>
              </w:rPr>
            </w:pPr>
            <w:r>
              <w:rPr>
                <w:rFonts w:eastAsia="Calibri"/>
                <w:color w:val="000000"/>
                <w:lang w:eastAsia="en-US"/>
              </w:rPr>
              <w:t>Опросник. Ребенок глазами взрослого (Примерная схема наблюдения за поведением ребенка)</w:t>
            </w:r>
          </w:p>
        </w:tc>
      </w:tr>
      <w:tr>
        <w:trPr>
          <w:trHeight w:val="1181" w:hRule="atLeast"/>
        </w:trPr>
        <w:tc>
          <w:tcPr>
            <w:tcW w:w="426" w:type="dxa"/>
            <w:vMerge w:val="restart"/>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3.</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Обучающийся группы риска  СДВГ</w:t>
            </w:r>
          </w:p>
        </w:tc>
        <w:tc>
          <w:tcPr>
            <w:tcW w:w="1417" w:type="dxa"/>
            <w:vMerge w:val="restart"/>
            <w:tcBorders>
              <w:top w:val="single" w:sz="4" w:space="0" w:color="000000"/>
              <w:left w:val="single" w:sz="4" w:space="0" w:color="000000"/>
              <w:bottom w:val="single" w:sz="4" w:space="0" w:color="000000"/>
              <w:right w:val="single" w:sz="4" w:space="0" w:color="000000"/>
            </w:tcBorders>
          </w:tcPr>
          <w:p>
            <w:pPr>
              <w:pStyle w:val="Normal"/>
              <w:rPr>
                <w:rFonts w:eastAsia="Calibri"/>
                <w:color w:val="FF0000"/>
                <w:lang w:eastAsia="en-US"/>
              </w:rPr>
            </w:pPr>
            <w:r>
              <w:rPr>
                <w:rFonts w:eastAsia="Calibri"/>
                <w:lang w:eastAsia="en-US"/>
              </w:rPr>
              <w:t xml:space="preserve">Познавательная и мотивационная сфера </w:t>
            </w:r>
          </w:p>
          <w:p>
            <w:pPr>
              <w:pStyle w:val="Normal"/>
              <w:rPr>
                <w:rFonts w:eastAsia="Calibri"/>
                <w:color w:val="FF0000"/>
                <w:lang w:eastAsia="en-US"/>
              </w:rPr>
            </w:pPr>
            <w:r>
              <w:rPr>
                <w:rFonts w:eastAsia="Calibri"/>
                <w:color w:val="FF0000"/>
                <w:lang w:eastAsia="en-US"/>
              </w:rPr>
            </w:r>
          </w:p>
        </w:tc>
        <w:tc>
          <w:tcPr>
            <w:tcW w:w="1418" w:type="dxa"/>
            <w:vMerge w:val="restart"/>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 xml:space="preserve">Определение особенностей </w:t>
            </w:r>
          </w:p>
          <w:p>
            <w:pPr>
              <w:pStyle w:val="Normal"/>
              <w:rPr>
                <w:rFonts w:eastAsia="Calibri"/>
                <w:lang w:eastAsia="en-US"/>
              </w:rPr>
            </w:pPr>
            <w:r>
              <w:rPr>
                <w:rFonts w:eastAsia="Calibri"/>
                <w:lang w:eastAsia="en-US"/>
              </w:rPr>
              <w:t>внимания,</w:t>
            </w:r>
          </w:p>
          <w:p>
            <w:pPr>
              <w:pStyle w:val="Normal"/>
              <w:rPr>
                <w:rFonts w:eastAsia="Calibri"/>
                <w:lang w:eastAsia="en-US"/>
              </w:rPr>
            </w:pPr>
            <w:r>
              <w:rPr>
                <w:rFonts w:eastAsia="Calibri"/>
                <w:lang w:eastAsia="en-US"/>
              </w:rPr>
              <w:t xml:space="preserve">интеллекта, </w:t>
            </w:r>
          </w:p>
          <w:p>
            <w:pPr>
              <w:pStyle w:val="Normal"/>
              <w:rPr>
                <w:rFonts w:eastAsia="Calibri"/>
                <w:lang w:eastAsia="en-US"/>
              </w:rPr>
            </w:pPr>
            <w:r>
              <w:rPr>
                <w:rFonts w:eastAsia="Calibri"/>
                <w:lang w:eastAsia="en-US"/>
              </w:rPr>
              <w:t>учебной мотивации</w:t>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tc>
        <w:tc>
          <w:tcPr>
            <w:tcW w:w="1842"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6-7 лет</w:t>
            </w:r>
          </w:p>
        </w:tc>
        <w:tc>
          <w:tcPr>
            <w:tcW w:w="3129" w:type="dxa"/>
            <w:tcBorders>
              <w:top w:val="single" w:sz="4" w:space="0" w:color="000000"/>
              <w:left w:val="single" w:sz="4" w:space="0" w:color="000000"/>
              <w:bottom w:val="single" w:sz="4" w:space="0" w:color="000000"/>
              <w:right w:val="single" w:sz="4" w:space="0" w:color="000000"/>
            </w:tcBorders>
          </w:tcPr>
          <w:p>
            <w:pPr>
              <w:pStyle w:val="Normal"/>
              <w:rPr>
                <w:lang w:eastAsia="en-US"/>
              </w:rPr>
            </w:pPr>
            <w:r>
              <w:rPr>
                <w:rFonts w:eastAsia="Times New Roman"/>
                <w:lang w:eastAsia="en-US"/>
              </w:rPr>
              <w:t xml:space="preserve"> </w:t>
            </w:r>
            <w:r>
              <w:rPr>
                <w:rFonts w:eastAsia="Calibri"/>
                <w:lang w:eastAsia="en-US"/>
              </w:rPr>
              <w:t>Стандартизированная методика «Тест Тулуз –Пьерона», адаптированная Ясюковой Л.А.</w:t>
            </w:r>
          </w:p>
          <w:p>
            <w:pPr>
              <w:pStyle w:val="Normal"/>
              <w:rPr/>
            </w:pPr>
            <w:r>
              <w:rPr>
                <w:rFonts w:eastAsia="Calibri"/>
                <w:lang w:eastAsia="en-US"/>
              </w:rPr>
              <w:t xml:space="preserve">Прогрессивные матрицы Равена (Цветной вариант) </w:t>
            </w:r>
          </w:p>
          <w:p>
            <w:pPr>
              <w:pStyle w:val="Normal"/>
              <w:rPr>
                <w:rFonts w:eastAsia="Calibri"/>
                <w:lang w:eastAsia="en-US"/>
              </w:rPr>
            </w:pPr>
            <w:r>
              <w:rPr>
                <w:rFonts w:eastAsia="Calibri"/>
                <w:lang w:eastAsia="en-US"/>
              </w:rPr>
              <w:t>Рисуночный тест «Я в школе»</w:t>
            </w:r>
          </w:p>
        </w:tc>
      </w:tr>
      <w:tr>
        <w:trPr>
          <w:trHeight w:val="234" w:hRule="atLeast"/>
        </w:trPr>
        <w:tc>
          <w:tcPr>
            <w:tcW w:w="42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417"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41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842"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8-10 лет</w:t>
            </w:r>
          </w:p>
        </w:tc>
        <w:tc>
          <w:tcPr>
            <w:tcW w:w="3129" w:type="dxa"/>
            <w:tcBorders>
              <w:top w:val="single" w:sz="4" w:space="0" w:color="000000"/>
              <w:left w:val="single" w:sz="4" w:space="0" w:color="000000"/>
              <w:bottom w:val="single" w:sz="4" w:space="0" w:color="000000"/>
              <w:right w:val="single" w:sz="4" w:space="0" w:color="000000"/>
            </w:tcBorders>
          </w:tcPr>
          <w:p>
            <w:pPr>
              <w:pStyle w:val="Normal"/>
              <w:rPr>
                <w:lang w:eastAsia="en-US"/>
              </w:rPr>
            </w:pPr>
            <w:r>
              <w:rPr>
                <w:rFonts w:eastAsia="Times New Roman"/>
                <w:lang w:eastAsia="en-US"/>
              </w:rPr>
              <w:t xml:space="preserve"> </w:t>
            </w:r>
            <w:r>
              <w:rPr>
                <w:rFonts w:eastAsia="Calibri"/>
                <w:lang w:eastAsia="en-US"/>
              </w:rPr>
              <w:t>Стандартизированная методика «Тест Тулуз –Пьерона», адаптированная Ясюковой Л.А.</w:t>
            </w:r>
          </w:p>
          <w:p>
            <w:pPr>
              <w:pStyle w:val="Normal"/>
              <w:rPr>
                <w:lang w:eastAsia="en-US"/>
              </w:rPr>
            </w:pPr>
            <w:r>
              <w:rPr>
                <w:rFonts w:eastAsia="Times New Roman"/>
                <w:lang w:eastAsia="en-US"/>
              </w:rPr>
              <w:t xml:space="preserve"> </w:t>
            </w:r>
            <w:r>
              <w:rPr>
                <w:rFonts w:eastAsia="Calibri"/>
                <w:lang w:eastAsia="en-US"/>
              </w:rPr>
              <w:t xml:space="preserve">Прогрессивные матрицы Равена    </w:t>
            </w:r>
          </w:p>
          <w:p>
            <w:pPr>
              <w:pStyle w:val="Normal"/>
              <w:rPr>
                <w:rFonts w:eastAsia="Calibri"/>
                <w:lang w:eastAsia="en-US"/>
              </w:rPr>
            </w:pPr>
            <w:r>
              <w:rPr>
                <w:rFonts w:eastAsia="Calibri"/>
                <w:lang w:eastAsia="en-US"/>
              </w:rPr>
              <w:t xml:space="preserve">(Черно-белый вариант) </w:t>
            </w:r>
          </w:p>
          <w:p>
            <w:pPr>
              <w:pStyle w:val="Normal"/>
              <w:rPr>
                <w:rFonts w:eastAsia="Calibri"/>
                <w:lang w:eastAsia="en-US"/>
              </w:rPr>
            </w:pPr>
            <w:r>
              <w:rPr>
                <w:rFonts w:eastAsia="Calibri"/>
                <w:lang w:eastAsia="en-US"/>
              </w:rPr>
              <w:t>Рисуночный тест «Я в школе»</w:t>
            </w:r>
          </w:p>
        </w:tc>
      </w:tr>
      <w:tr>
        <w:trPr>
          <w:trHeight w:val="1695" w:hRule="atLeast"/>
        </w:trPr>
        <w:tc>
          <w:tcPr>
            <w:tcW w:w="42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417"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41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842"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11-14 лет</w:t>
            </w:r>
          </w:p>
        </w:tc>
        <w:tc>
          <w:tcPr>
            <w:tcW w:w="3129"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Стандартизированная методика «Тест Тулуз –Пьерона», адаптированная Ясюковой Л.А.</w:t>
            </w:r>
          </w:p>
          <w:p>
            <w:pPr>
              <w:pStyle w:val="Normal"/>
              <w:rPr>
                <w:rFonts w:eastAsia="Calibri"/>
                <w:lang w:eastAsia="en-US"/>
              </w:rPr>
            </w:pPr>
            <w:r>
              <w:rPr>
                <w:rFonts w:eastAsia="Calibri"/>
                <w:lang w:eastAsia="en-US"/>
              </w:rPr>
              <w:t>Прогрессивные матрицы Равена</w:t>
            </w:r>
          </w:p>
          <w:p>
            <w:pPr>
              <w:pStyle w:val="Normal"/>
              <w:rPr>
                <w:rFonts w:eastAsia="Calibri"/>
                <w:lang w:eastAsia="en-US"/>
              </w:rPr>
            </w:pPr>
            <w:r>
              <w:rPr>
                <w:rFonts w:eastAsia="Calibri"/>
                <w:lang w:eastAsia="en-US"/>
              </w:rPr>
              <w:t>(Черно-белый вариант)</w:t>
            </w:r>
          </w:p>
          <w:p>
            <w:pPr>
              <w:pStyle w:val="Normal"/>
              <w:rPr>
                <w:rFonts w:eastAsia="Calibri"/>
                <w:lang w:eastAsia="en-US"/>
              </w:rPr>
            </w:pPr>
            <w:r>
              <w:rPr>
                <w:rFonts w:eastAsia="Calibri"/>
                <w:lang w:eastAsia="en-US"/>
              </w:rPr>
              <w:t>Таблицы Горбова - Шульте</w:t>
            </w:r>
          </w:p>
        </w:tc>
      </w:tr>
      <w:tr>
        <w:trPr>
          <w:trHeight w:val="692" w:hRule="atLeast"/>
        </w:trPr>
        <w:tc>
          <w:tcPr>
            <w:tcW w:w="42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417" w:type="dxa"/>
            <w:vMerge w:val="restart"/>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Социально-коммуникативная сфера</w:t>
            </w:r>
          </w:p>
          <w:p>
            <w:pPr>
              <w:pStyle w:val="Normal"/>
              <w:rPr>
                <w:rFonts w:eastAsia="Calibri"/>
                <w:lang w:eastAsia="en-US"/>
              </w:rPr>
            </w:pPr>
            <w:r>
              <w:rPr>
                <w:rFonts w:eastAsia="Calibri"/>
                <w:lang w:eastAsia="en-US"/>
              </w:rPr>
              <w:t xml:space="preserve">Эмоционально-волевая сфера </w:t>
            </w:r>
          </w:p>
        </w:tc>
        <w:tc>
          <w:tcPr>
            <w:tcW w:w="1418" w:type="dxa"/>
            <w:vMerge w:val="restart"/>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Определение особенностей социально-коммуникативной и эмоционально-личностной сферы</w:t>
            </w:r>
          </w:p>
        </w:tc>
        <w:tc>
          <w:tcPr>
            <w:tcW w:w="1842"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6-7 лет</w:t>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tc>
        <w:tc>
          <w:tcPr>
            <w:tcW w:w="3129"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Проективная методика для диагностики школьной тревожности (А.М.Прихожан)</w:t>
            </w:r>
          </w:p>
        </w:tc>
      </w:tr>
      <w:tr>
        <w:trPr>
          <w:trHeight w:val="580" w:hRule="atLeast"/>
        </w:trPr>
        <w:tc>
          <w:tcPr>
            <w:tcW w:w="42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417"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b/>
                <w:b/>
                <w:lang w:eastAsia="en-US"/>
              </w:rPr>
            </w:pPr>
            <w:r>
              <w:rPr>
                <w:rFonts w:eastAsia="Calibri"/>
                <w:b/>
                <w:lang w:eastAsia="en-US"/>
              </w:rPr>
            </w:r>
          </w:p>
        </w:tc>
        <w:tc>
          <w:tcPr>
            <w:tcW w:w="141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b/>
                <w:b/>
                <w:lang w:eastAsia="en-US"/>
              </w:rPr>
            </w:pPr>
            <w:r>
              <w:rPr>
                <w:rFonts w:eastAsia="Calibri"/>
                <w:b/>
                <w:lang w:eastAsia="en-US"/>
              </w:rPr>
            </w:r>
          </w:p>
        </w:tc>
        <w:tc>
          <w:tcPr>
            <w:tcW w:w="1842"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8-11 лет</w:t>
            </w:r>
          </w:p>
          <w:p>
            <w:pPr>
              <w:pStyle w:val="Normal"/>
              <w:rPr>
                <w:rFonts w:eastAsia="Calibri"/>
                <w:lang w:eastAsia="en-US"/>
              </w:rPr>
            </w:pPr>
            <w:r>
              <w:rPr>
                <w:rFonts w:eastAsia="Calibri"/>
                <w:lang w:eastAsia="en-US"/>
              </w:rPr>
            </w:r>
          </w:p>
        </w:tc>
        <w:tc>
          <w:tcPr>
            <w:tcW w:w="3129"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Социометрия</w:t>
            </w:r>
          </w:p>
          <w:p>
            <w:pPr>
              <w:pStyle w:val="Normal"/>
              <w:rPr>
                <w:rFonts w:eastAsia="Calibri"/>
                <w:lang w:eastAsia="en-US"/>
              </w:rPr>
            </w:pPr>
            <w:r>
              <w:rPr>
                <w:rFonts w:eastAsia="Calibri"/>
                <w:lang w:eastAsia="en-US"/>
              </w:rPr>
              <w:t>Исследование самооценки Дембо-Рубинштейн</w:t>
            </w:r>
          </w:p>
          <w:p>
            <w:pPr>
              <w:pStyle w:val="Normal"/>
              <w:rPr>
                <w:rFonts w:eastAsia="Calibri"/>
                <w:lang w:eastAsia="en-US"/>
              </w:rPr>
            </w:pPr>
            <w:r>
              <w:rPr>
                <w:rFonts w:eastAsia="Calibri"/>
                <w:lang w:eastAsia="en-US"/>
              </w:rPr>
              <w:t>Проективная методика для диагностики школьной тревожности (А.М.Прихожан)</w:t>
            </w:r>
          </w:p>
        </w:tc>
      </w:tr>
      <w:tr>
        <w:trPr>
          <w:trHeight w:val="1739" w:hRule="atLeast"/>
        </w:trPr>
        <w:tc>
          <w:tcPr>
            <w:tcW w:w="42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27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lang w:eastAsia="en-US"/>
              </w:rPr>
            </w:pPr>
            <w:r>
              <w:rPr>
                <w:rFonts w:eastAsia="Calibri"/>
                <w:lang w:eastAsia="en-US"/>
              </w:rPr>
            </w:r>
          </w:p>
        </w:tc>
        <w:tc>
          <w:tcPr>
            <w:tcW w:w="1417"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b/>
                <w:b/>
                <w:lang w:eastAsia="en-US"/>
              </w:rPr>
            </w:pPr>
            <w:r>
              <w:rPr>
                <w:rFonts w:eastAsia="Calibri"/>
                <w:b/>
                <w:lang w:eastAsia="en-US"/>
              </w:rPr>
            </w:r>
          </w:p>
        </w:tc>
        <w:tc>
          <w:tcPr>
            <w:tcW w:w="141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b/>
                <w:b/>
                <w:lang w:eastAsia="en-US"/>
              </w:rPr>
            </w:pPr>
            <w:r>
              <w:rPr>
                <w:rFonts w:eastAsia="Calibri"/>
                <w:b/>
                <w:lang w:eastAsia="en-US"/>
              </w:rPr>
            </w:r>
          </w:p>
        </w:tc>
        <w:tc>
          <w:tcPr>
            <w:tcW w:w="1842"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12-14 лет</w:t>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rPr>
            </w:pPr>
            <w:r>
              <w:rPr>
                <w:rFonts w:eastAsia="Times New Roman"/>
                <w:lang w:eastAsia="en-US"/>
              </w:rPr>
              <w:t xml:space="preserve"> </w:t>
            </w:r>
          </w:p>
        </w:tc>
        <w:tc>
          <w:tcPr>
            <w:tcW w:w="3129"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Социометрия</w:t>
            </w:r>
          </w:p>
          <w:p>
            <w:pPr>
              <w:pStyle w:val="Normal"/>
              <w:rPr>
                <w:rFonts w:eastAsia="Calibri"/>
                <w:lang w:eastAsia="en-US"/>
              </w:rPr>
            </w:pPr>
            <w:r>
              <w:rPr>
                <w:rFonts w:eastAsia="Calibri"/>
                <w:lang w:eastAsia="en-US"/>
              </w:rPr>
              <w:t>Исследование самооценки Дембо-Рубинштейн</w:t>
            </w:r>
          </w:p>
          <w:p>
            <w:pPr>
              <w:pStyle w:val="Normal"/>
              <w:rPr>
                <w:rFonts w:eastAsia="Calibri"/>
                <w:lang w:eastAsia="en-US"/>
              </w:rPr>
            </w:pPr>
            <w:r>
              <w:rPr>
                <w:rFonts w:eastAsia="Calibri"/>
                <w:lang w:eastAsia="en-US"/>
              </w:rPr>
              <w:t>Опросник школьной тревожности Филлипса</w:t>
            </w:r>
          </w:p>
        </w:tc>
      </w:tr>
    </w:tbl>
    <w:p>
      <w:pPr>
        <w:pStyle w:val="Normal"/>
        <w:tabs>
          <w:tab w:val="clear" w:pos="708"/>
          <w:tab w:val="left" w:pos="720" w:leader="none"/>
        </w:tabs>
        <w:spacing w:lineRule="auto" w:line="357"/>
        <w:ind w:right="76" w:firstLine="567"/>
        <w:jc w:val="both"/>
        <w:rPr>
          <w:sz w:val="24"/>
        </w:rPr>
      </w:pPr>
      <w:r>
        <w:rPr>
          <w:sz w:val="24"/>
        </w:rPr>
      </w:r>
    </w:p>
    <w:p>
      <w:pPr>
        <w:pStyle w:val="Normal"/>
        <w:tabs>
          <w:tab w:val="clear" w:pos="708"/>
          <w:tab w:val="left" w:pos="993" w:leader="none"/>
        </w:tabs>
        <w:spacing w:lineRule="auto" w:line="360"/>
        <w:ind w:firstLine="567"/>
        <w:jc w:val="both"/>
        <w:rPr>
          <w:sz w:val="24"/>
        </w:rPr>
      </w:pPr>
      <w:r>
        <w:rPr>
          <w:sz w:val="24"/>
        </w:rPr>
        <w:t xml:space="preserve">На занятиях слушатели знакомятся с существующими </w:t>
      </w:r>
      <w:bookmarkStart w:id="8" w:name="_Hlk60644883"/>
      <w:r>
        <w:rPr>
          <w:sz w:val="24"/>
        </w:rPr>
        <w:t>научно-методическими и практическими подходами к организации комплексного сопровождения детей с СДВГ в образовательном процессе, разработанными в рамках ОЭР (приведены ниже). [23]</w:t>
      </w:r>
    </w:p>
    <w:p>
      <w:pPr>
        <w:pStyle w:val="Normal"/>
        <w:tabs>
          <w:tab w:val="clear" w:pos="708"/>
          <w:tab w:val="left" w:pos="993" w:leader="none"/>
        </w:tabs>
        <w:spacing w:lineRule="auto" w:line="360"/>
        <w:ind w:firstLine="567"/>
        <w:jc w:val="both"/>
        <w:rPr>
          <w:rFonts w:eastAsia="Calibri"/>
          <w:color w:val="000000"/>
          <w:sz w:val="24"/>
          <w:szCs w:val="24"/>
          <w:lang w:eastAsia="en-US"/>
        </w:rPr>
      </w:pPr>
      <w:r>
        <w:rPr>
          <w:rFonts w:eastAsia="Calibri"/>
          <w:color w:val="000000"/>
          <w:sz w:val="24"/>
          <w:szCs w:val="24"/>
          <w:lang w:eastAsia="en-US"/>
        </w:rPr>
        <w:t xml:space="preserve">Проблемой психологического сопровождения детей с СДВГ занимались такие отечественные исследователи, как Г.Л. Бардиер, И.П. Брязгунов, Н.Н. Заваденко, Е.В. Касатикова, Е.К. Лютова, Г.Б. Монина, Е.В. Мурашова, А.Л. Сиротюк, Л.С. Чутко и др. </w:t>
      </w:r>
    </w:p>
    <w:p>
      <w:pPr>
        <w:pStyle w:val="Normal"/>
        <w:tabs>
          <w:tab w:val="clear" w:pos="708"/>
          <w:tab w:val="left" w:pos="993" w:leader="none"/>
        </w:tabs>
        <w:spacing w:lineRule="auto" w:line="360"/>
        <w:ind w:firstLine="567"/>
        <w:jc w:val="both"/>
        <w:rPr>
          <w:rFonts w:eastAsia="Calibri"/>
          <w:color w:val="000000"/>
          <w:sz w:val="24"/>
          <w:szCs w:val="24"/>
          <w:lang w:eastAsia="en-US"/>
        </w:rPr>
      </w:pPr>
      <w:r>
        <w:rPr>
          <w:rFonts w:eastAsia="Calibri"/>
          <w:color w:val="000000"/>
          <w:sz w:val="24"/>
          <w:szCs w:val="24"/>
          <w:lang w:eastAsia="en-US"/>
        </w:rPr>
        <w:t>Г.Л. Бардиер предлагает понимать под психологическим сопровождением поддержку психически здоровых людей; системную интегративную технологию социально-психологической помощи семье и личности; особую форму социальной и психологической помощи детям и участникам учебного и воспитательного процесса.</w:t>
      </w:r>
    </w:p>
    <w:p>
      <w:pPr>
        <w:pStyle w:val="Normal"/>
        <w:tabs>
          <w:tab w:val="clear" w:pos="708"/>
          <w:tab w:val="left" w:pos="993" w:leader="none"/>
        </w:tabs>
        <w:spacing w:lineRule="auto" w:line="360"/>
        <w:ind w:firstLine="567"/>
        <w:jc w:val="both"/>
        <w:rPr>
          <w:rFonts w:eastAsia="Calibri"/>
          <w:color w:val="000000"/>
          <w:sz w:val="24"/>
          <w:szCs w:val="24"/>
          <w:lang w:eastAsia="en-US"/>
        </w:rPr>
      </w:pPr>
      <w:r>
        <w:rPr>
          <w:rFonts w:eastAsia="Calibri"/>
          <w:color w:val="000000"/>
          <w:sz w:val="24"/>
          <w:szCs w:val="24"/>
          <w:lang w:eastAsia="en-US"/>
        </w:rPr>
        <w:t xml:space="preserve">Психокоррекционная часть психологического сопровождения включает в себя использование следующих методов:  </w:t>
      </w:r>
    </w:p>
    <w:p>
      <w:pPr>
        <w:pStyle w:val="Style26"/>
        <w:numPr>
          <w:ilvl w:val="0"/>
          <w:numId w:val="9"/>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Арт-терапия. В основе арт-терапии лежит творческая деятельность, неограниченные возможности ребенка для самореализации и самовыражения, что помогает ему адаптироваться в реальной жизни.</w:t>
      </w:r>
    </w:p>
    <w:p>
      <w:pPr>
        <w:pStyle w:val="Style26"/>
        <w:numPr>
          <w:ilvl w:val="0"/>
          <w:numId w:val="9"/>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Игровая терапия. Монина Г.Б. с соавторами указывают, что игровая терапия является естественной и эффективной формой работы с детьми. Игровая деятельность влияет на формирование произвольных психических процессов, развивает мыслительные процессы и функции, самостоятельность в суждениях и принятии решений. Также она совершенствует опорно-двигательную и волевую активность, развивает способность понимать свои чувства, способствует укреплению самооценки и улучшению коммуникативных навыков. </w:t>
      </w:r>
    </w:p>
    <w:p>
      <w:pPr>
        <w:pStyle w:val="Style26"/>
        <w:numPr>
          <w:ilvl w:val="0"/>
          <w:numId w:val="9"/>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Музыкотерапия. Лютова Е. К. и Монина Г. Б. рекомендуют использовать музыкотерапию в сочетании с каким-либо другим методом – например, арт-терапией, телесной терапией.</w:t>
      </w:r>
    </w:p>
    <w:p>
      <w:pPr>
        <w:pStyle w:val="Style26"/>
        <w:numPr>
          <w:ilvl w:val="0"/>
          <w:numId w:val="9"/>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Психогимнастика, телесно-ориентированная терапия. Помогают ребенку научиться понимать свое тело, управлять им, позволяют в невербальной форме отреагировать на эмоциональные переживания.  Сиротюк А. Л. и Брязгунов И. П. с соавторами предлагают использовать такие методики, как, например, дыхательные техники, пантомима, айкидо, аутотренинг, методика напряженных поз. </w:t>
      </w:r>
    </w:p>
    <w:p>
      <w:pPr>
        <w:pStyle w:val="Style26"/>
        <w:numPr>
          <w:ilvl w:val="0"/>
          <w:numId w:val="9"/>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Поведенческая и семейная терапия. Должны использоваться вместе для наибольшей эффективности. И.П. Брязгунов и Е. Касатикова среди психолого-педагогических методов коррекции СДВГ главную роль отводят именно поведенческой и семейной психотерапии.  </w:t>
      </w:r>
    </w:p>
    <w:p>
      <w:pPr>
        <w:pStyle w:val="Normal"/>
        <w:tabs>
          <w:tab w:val="clear" w:pos="708"/>
          <w:tab w:val="left" w:pos="993" w:leader="none"/>
        </w:tabs>
        <w:spacing w:lineRule="auto" w:line="360"/>
        <w:ind w:firstLine="567"/>
        <w:jc w:val="both"/>
        <w:rPr>
          <w:rFonts w:eastAsia="Calibri"/>
          <w:color w:val="000000"/>
          <w:lang w:eastAsia="en-US"/>
        </w:rPr>
      </w:pPr>
      <w:r>
        <w:rPr>
          <w:rFonts w:eastAsia="Calibri"/>
          <w:color w:val="000000"/>
          <w:lang w:eastAsia="en-US"/>
        </w:rPr>
        <w:t xml:space="preserve">Исследователи предлагают в программе поведенческой коррекции выделять 2 этапа: домашний и учебный. </w:t>
      </w:r>
    </w:p>
    <w:p>
      <w:pPr>
        <w:pStyle w:val="Normal"/>
        <w:tabs>
          <w:tab w:val="clear" w:pos="708"/>
          <w:tab w:val="left" w:pos="993" w:leader="none"/>
        </w:tabs>
        <w:spacing w:lineRule="auto" w:line="360"/>
        <w:ind w:firstLine="567"/>
        <w:jc w:val="both"/>
        <w:rPr>
          <w:rFonts w:eastAsia="Calibri"/>
          <w:color w:val="000000"/>
          <w:lang w:eastAsia="en-US"/>
        </w:rPr>
      </w:pPr>
      <w:r>
        <w:rPr>
          <w:rFonts w:eastAsia="Calibri"/>
          <w:color w:val="000000"/>
          <w:lang w:eastAsia="en-US"/>
        </w:rPr>
        <w:t xml:space="preserve">В домашнюю программу коррекции рекомендуется включать: </w:t>
      </w:r>
    </w:p>
    <w:p>
      <w:pPr>
        <w:pStyle w:val="Style26"/>
        <w:numPr>
          <w:ilvl w:val="0"/>
          <w:numId w:val="19"/>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изменение поведения взрослых и их отношения к ребенку; </w:t>
      </w:r>
    </w:p>
    <w:p>
      <w:pPr>
        <w:pStyle w:val="Style26"/>
        <w:numPr>
          <w:ilvl w:val="0"/>
          <w:numId w:val="19"/>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изменение психологического микроклимата в семье;</w:t>
      </w:r>
    </w:p>
    <w:p>
      <w:pPr>
        <w:pStyle w:val="Style26"/>
        <w:numPr>
          <w:ilvl w:val="0"/>
          <w:numId w:val="19"/>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организацию режима дня и места для занятий ребенка; </w:t>
      </w:r>
    </w:p>
    <w:p>
      <w:pPr>
        <w:pStyle w:val="Style26"/>
        <w:numPr>
          <w:ilvl w:val="0"/>
          <w:numId w:val="19"/>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внедрение методов поощрения поведения ребенка. </w:t>
      </w:r>
    </w:p>
    <w:p>
      <w:pPr>
        <w:pStyle w:val="Normal"/>
        <w:tabs>
          <w:tab w:val="clear" w:pos="708"/>
          <w:tab w:val="left" w:pos="993" w:leader="none"/>
        </w:tabs>
        <w:spacing w:lineRule="auto" w:line="360"/>
        <w:ind w:firstLine="567"/>
        <w:jc w:val="both"/>
        <w:rPr>
          <w:rFonts w:eastAsia="Calibri"/>
          <w:color w:val="000000"/>
          <w:lang w:eastAsia="en-US"/>
        </w:rPr>
      </w:pPr>
      <w:r>
        <w:rPr>
          <w:rFonts w:eastAsia="Calibri"/>
          <w:color w:val="000000"/>
          <w:lang w:eastAsia="en-US"/>
        </w:rPr>
        <w:t xml:space="preserve">В учебную программу коррекции рекомендуется включать: </w:t>
      </w:r>
    </w:p>
    <w:p>
      <w:pPr>
        <w:pStyle w:val="Style26"/>
        <w:numPr>
          <w:ilvl w:val="0"/>
          <w:numId w:val="25"/>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изменение окружения;</w:t>
      </w:r>
    </w:p>
    <w:p>
      <w:pPr>
        <w:pStyle w:val="Style26"/>
        <w:numPr>
          <w:ilvl w:val="0"/>
          <w:numId w:val="25"/>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создание положительной мотивации, ситуации успеха;</w:t>
      </w:r>
    </w:p>
    <w:p>
      <w:pPr>
        <w:pStyle w:val="Style26"/>
        <w:numPr>
          <w:ilvl w:val="0"/>
          <w:numId w:val="25"/>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коррекцию негативных форм поведения;</w:t>
      </w:r>
    </w:p>
    <w:p>
      <w:pPr>
        <w:pStyle w:val="Style26"/>
        <w:numPr>
          <w:ilvl w:val="0"/>
          <w:numId w:val="25"/>
        </w:numPr>
        <w:tabs>
          <w:tab w:val="clear" w:pos="708"/>
          <w:tab w:val="left" w:pos="993" w:leader="none"/>
        </w:tabs>
        <w:spacing w:lineRule="auto" w:line="360" w:before="0" w:after="0"/>
        <w:ind w:left="0" w:firstLine="567"/>
        <w:jc w:val="both"/>
        <w:rPr/>
      </w:pPr>
      <w:r>
        <w:rPr>
          <w:rFonts w:cs="Times New Roman" w:ascii="Times New Roman" w:hAnsi="Times New Roman"/>
          <w:color w:val="000000"/>
          <w:sz w:val="24"/>
          <w:szCs w:val="24"/>
        </w:rPr>
        <w:t xml:space="preserve">регулирование ожиданий (положительные изменения в поведении ребенка проявляются не так быстро, как хочется окружающим). </w:t>
      </w:r>
    </w:p>
    <w:p>
      <w:pPr>
        <w:pStyle w:val="Normal"/>
        <w:tabs>
          <w:tab w:val="clear" w:pos="708"/>
          <w:tab w:val="left" w:pos="993" w:leader="none"/>
        </w:tabs>
        <w:spacing w:lineRule="auto" w:line="360"/>
        <w:ind w:firstLine="567"/>
        <w:jc w:val="both"/>
        <w:rPr>
          <w:rFonts w:eastAsia="Calibri"/>
          <w:color w:val="000000"/>
          <w:sz w:val="24"/>
          <w:szCs w:val="24"/>
          <w:lang w:eastAsia="en-US"/>
        </w:rPr>
      </w:pPr>
      <w:r>
        <w:rPr>
          <w:rFonts w:eastAsia="Calibri"/>
          <w:color w:val="000000"/>
          <w:sz w:val="24"/>
          <w:szCs w:val="24"/>
          <w:lang w:eastAsia="en-US"/>
        </w:rPr>
        <w:t xml:space="preserve">Также исследователи указывают на необходимость комплексного подхода при работе с СДВГ: сотрудничество семьи и школы, взаимодействие специалистов разных областей – психологов, врачей, социальных педагогов. </w:t>
      </w:r>
    </w:p>
    <w:p>
      <w:pPr>
        <w:pStyle w:val="Normal"/>
        <w:tabs>
          <w:tab w:val="clear" w:pos="708"/>
          <w:tab w:val="left" w:pos="993" w:leader="none"/>
        </w:tabs>
        <w:spacing w:lineRule="auto" w:line="360"/>
        <w:ind w:firstLine="567"/>
        <w:jc w:val="both"/>
        <w:rPr>
          <w:rFonts w:eastAsia="Calibri"/>
          <w:color w:val="000000"/>
          <w:sz w:val="24"/>
          <w:szCs w:val="24"/>
          <w:lang w:eastAsia="en-US"/>
        </w:rPr>
      </w:pPr>
      <w:bookmarkEnd w:id="8"/>
      <w:r>
        <w:rPr>
          <w:rFonts w:eastAsia="Calibri"/>
          <w:color w:val="000000"/>
          <w:sz w:val="24"/>
          <w:szCs w:val="24"/>
          <w:lang w:eastAsia="en-US"/>
        </w:rPr>
        <w:t xml:space="preserve">Коррекционные программы должны быть ориентированы преимущественно на возраст 7-12 лет, когда компенсаторные возможности мозга велики и еще не успел сформироваться патологический стереотип. </w:t>
      </w:r>
    </w:p>
    <w:p>
      <w:pPr>
        <w:pStyle w:val="Normal"/>
        <w:tabs>
          <w:tab w:val="clear" w:pos="708"/>
          <w:tab w:val="left" w:pos="993" w:leader="none"/>
        </w:tabs>
        <w:spacing w:lineRule="auto" w:line="360"/>
        <w:ind w:firstLine="567"/>
        <w:jc w:val="both"/>
        <w:rPr>
          <w:rFonts w:eastAsia="Calibri"/>
          <w:color w:val="000000"/>
          <w:sz w:val="24"/>
          <w:szCs w:val="24"/>
          <w:lang w:eastAsia="en-US"/>
        </w:rPr>
      </w:pPr>
      <w:r>
        <w:rPr>
          <w:rFonts w:eastAsia="Calibri"/>
          <w:color w:val="000000"/>
          <w:sz w:val="24"/>
          <w:szCs w:val="24"/>
          <w:lang w:eastAsia="en-US"/>
        </w:rPr>
        <w:t xml:space="preserve">Брязгунов И. П. подчеркивает важность “мультимодального” лечения и предлагает выделять следующие этапы: </w:t>
      </w:r>
    </w:p>
    <w:p>
      <w:pPr>
        <w:pStyle w:val="Style26"/>
        <w:numPr>
          <w:ilvl w:val="0"/>
          <w:numId w:val="28"/>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просветительные беседы с ребенком, родителями, учителями; </w:t>
      </w:r>
    </w:p>
    <w:p>
      <w:pPr>
        <w:pStyle w:val="Style26"/>
        <w:numPr>
          <w:ilvl w:val="0"/>
          <w:numId w:val="28"/>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обучение родителей и учителей поведенческим программам;  </w:t>
      </w:r>
    </w:p>
    <w:p>
      <w:pPr>
        <w:pStyle w:val="Style26"/>
        <w:numPr>
          <w:ilvl w:val="0"/>
          <w:numId w:val="28"/>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расширение круга общения ребенка через посещение различных кружков и секций;  </w:t>
      </w:r>
    </w:p>
    <w:p>
      <w:pPr>
        <w:pStyle w:val="Style26"/>
        <w:numPr>
          <w:ilvl w:val="0"/>
          <w:numId w:val="28"/>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специальное обучение в случае затруднений с учебой; </w:t>
      </w:r>
    </w:p>
    <w:p>
      <w:pPr>
        <w:pStyle w:val="Style26"/>
        <w:numPr>
          <w:ilvl w:val="0"/>
          <w:numId w:val="28"/>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медикаментозная терапия;  </w:t>
      </w:r>
    </w:p>
    <w:p>
      <w:pPr>
        <w:pStyle w:val="Style26"/>
        <w:numPr>
          <w:ilvl w:val="0"/>
          <w:numId w:val="28"/>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аутогенная тренировка и суггестивная терапия (гипноз)». </w:t>
      </w:r>
    </w:p>
    <w:p>
      <w:pPr>
        <w:pStyle w:val="Normal"/>
        <w:tabs>
          <w:tab w:val="clear" w:pos="708"/>
          <w:tab w:val="left" w:pos="993" w:leader="none"/>
        </w:tabs>
        <w:spacing w:lineRule="auto" w:line="360"/>
        <w:ind w:firstLine="567"/>
        <w:jc w:val="both"/>
        <w:rPr>
          <w:rFonts w:eastAsia="Calibri"/>
          <w:color w:val="000000"/>
          <w:sz w:val="24"/>
          <w:szCs w:val="24"/>
          <w:lang w:eastAsia="en-US"/>
        </w:rPr>
      </w:pPr>
      <w:r>
        <w:rPr>
          <w:rFonts w:eastAsia="Calibri"/>
          <w:color w:val="000000"/>
          <w:sz w:val="24"/>
          <w:szCs w:val="24"/>
          <w:lang w:eastAsia="en-US"/>
        </w:rPr>
        <w:t xml:space="preserve">Сиротюк Л. А. предлагает программу нейропсихологического развития и коррекции детей с СДВГ, представленную 16 занятиями.  </w:t>
      </w:r>
    </w:p>
    <w:p>
      <w:pPr>
        <w:pStyle w:val="Normal"/>
        <w:tabs>
          <w:tab w:val="clear" w:pos="708"/>
          <w:tab w:val="left" w:pos="993" w:leader="none"/>
        </w:tabs>
        <w:spacing w:lineRule="auto" w:line="360"/>
        <w:ind w:firstLine="567"/>
        <w:jc w:val="both"/>
        <w:rPr>
          <w:rFonts w:eastAsia="Calibri"/>
          <w:color w:val="000000"/>
          <w:sz w:val="24"/>
          <w:szCs w:val="24"/>
          <w:lang w:eastAsia="en-US"/>
        </w:rPr>
      </w:pPr>
      <w:r>
        <w:rPr>
          <w:rFonts w:eastAsia="Calibri"/>
          <w:color w:val="000000"/>
          <w:sz w:val="24"/>
          <w:szCs w:val="24"/>
          <w:lang w:eastAsia="en-US"/>
        </w:rPr>
        <w:t xml:space="preserve">Мурашова Е. В. справедливо замечает, что опыт применения психотерапии при СДВГ недостаточен, однако снижение психологической напряженности в семье и создание благоприятной для ребенка обстановки способствуют лечению. Автор считает, что объяснение ребенку причин его неудач в жизни на понятном ему языке является неотъемлемой частью психотерапии. </w:t>
      </w:r>
    </w:p>
    <w:p>
      <w:pPr>
        <w:pStyle w:val="Normal"/>
        <w:tabs>
          <w:tab w:val="clear" w:pos="708"/>
          <w:tab w:val="left" w:pos="993" w:leader="none"/>
        </w:tabs>
        <w:spacing w:lineRule="auto" w:line="360"/>
        <w:ind w:firstLine="567"/>
        <w:jc w:val="both"/>
        <w:rPr>
          <w:rFonts w:eastAsia="Calibri"/>
          <w:color w:val="000000"/>
          <w:sz w:val="24"/>
          <w:szCs w:val="24"/>
          <w:lang w:eastAsia="en-US"/>
        </w:rPr>
      </w:pPr>
      <w:r>
        <w:rPr>
          <w:rFonts w:eastAsia="Calibri"/>
          <w:color w:val="000000"/>
          <w:sz w:val="24"/>
          <w:szCs w:val="24"/>
          <w:lang w:eastAsia="en-US"/>
        </w:rPr>
        <w:t xml:space="preserve">Монина Г.Б. главной целью психотерапии детей с СДВГ считает оказание помощи в адаптации к существующим условиям жизни с учетом симптоматических проявлений данного заболевания. Специалисты, осуществляющие сопровождение ребенка с СДВГ, должны направлять усилия на выявление сильных сторон личности с целью помочь ребенку ощутить себя успешным, повысить самооценку и мотивацию достижений в других областях деятельности. </w:t>
      </w:r>
    </w:p>
    <w:p>
      <w:pPr>
        <w:pStyle w:val="Normal"/>
        <w:tabs>
          <w:tab w:val="clear" w:pos="708"/>
          <w:tab w:val="left" w:pos="993" w:leader="none"/>
        </w:tabs>
        <w:spacing w:lineRule="auto" w:line="360"/>
        <w:ind w:firstLine="567"/>
        <w:jc w:val="both"/>
        <w:rPr>
          <w:rFonts w:eastAsia="Calibri"/>
          <w:color w:val="000000"/>
          <w:sz w:val="24"/>
          <w:szCs w:val="24"/>
          <w:lang w:eastAsia="en-US"/>
        </w:rPr>
      </w:pPr>
      <w:bookmarkStart w:id="9" w:name="_Hlk60645044"/>
      <w:bookmarkEnd w:id="9"/>
      <w:r>
        <w:rPr>
          <w:rFonts w:eastAsia="Calibri"/>
          <w:color w:val="000000"/>
          <w:sz w:val="24"/>
          <w:szCs w:val="24"/>
          <w:lang w:eastAsia="en-US"/>
        </w:rPr>
        <w:t xml:space="preserve">Шипицына Л.М. предлагает сопровождение гиперактивного ребенка в условиях ОУ и семьи осуществлять комплексно, в ходе сопровождения необходимо объединять и правильно сочетать различные подходы – медицинский, психолого-педагогический, «родительский». Необходимыми условиями успешности сопровождения ребенка с синдромом дефицита внимания с гиперактивностью являются своевременность, последовательность и достаточная продолжительность оказываемой помощи. Взрослый должен быть готов к длительной работе, а не к быстрому результату, хотя при уравновешенном подходе первые результаты могут стать заметными достаточно скоро.  </w:t>
      </w:r>
    </w:p>
    <w:p>
      <w:pPr>
        <w:pStyle w:val="Normal"/>
        <w:tabs>
          <w:tab w:val="clear" w:pos="708"/>
          <w:tab w:val="left" w:pos="993" w:leader="none"/>
        </w:tabs>
        <w:spacing w:lineRule="auto" w:line="360"/>
        <w:ind w:firstLine="567"/>
        <w:jc w:val="both"/>
        <w:rPr>
          <w:rFonts w:eastAsia="Calibri"/>
          <w:color w:val="000000"/>
          <w:sz w:val="24"/>
          <w:szCs w:val="24"/>
          <w:lang w:eastAsia="en-US"/>
        </w:rPr>
      </w:pPr>
      <w:r>
        <w:rPr>
          <w:rFonts w:eastAsia="Calibri"/>
          <w:color w:val="000000"/>
          <w:sz w:val="24"/>
          <w:szCs w:val="24"/>
          <w:lang w:eastAsia="en-US"/>
        </w:rPr>
        <w:t xml:space="preserve">В программа коррекции в ОУ рекомендуется включать: </w:t>
      </w:r>
    </w:p>
    <w:p>
      <w:pPr>
        <w:pStyle w:val="Style26"/>
        <w:numPr>
          <w:ilvl w:val="0"/>
          <w:numId w:val="14"/>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Создание положительной мотивации, ситуаций успеха. </w:t>
      </w:r>
    </w:p>
    <w:p>
      <w:pPr>
        <w:pStyle w:val="Style26"/>
        <w:numPr>
          <w:ilvl w:val="0"/>
          <w:numId w:val="14"/>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Обучение ребенка релаксации. </w:t>
      </w:r>
    </w:p>
    <w:p>
      <w:pPr>
        <w:pStyle w:val="Style26"/>
        <w:numPr>
          <w:ilvl w:val="0"/>
          <w:numId w:val="14"/>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Коррекция негативных форм поведения, в частности немотивированной агрессии. </w:t>
      </w:r>
    </w:p>
    <w:p>
      <w:pPr>
        <w:pStyle w:val="Style26"/>
        <w:numPr>
          <w:ilvl w:val="0"/>
          <w:numId w:val="14"/>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Развитие дефицитарных функций. </w:t>
      </w:r>
    </w:p>
    <w:p>
      <w:pPr>
        <w:pStyle w:val="Style26"/>
        <w:numPr>
          <w:ilvl w:val="0"/>
          <w:numId w:val="14"/>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Развитие навыков межличностного взаимодействия. </w:t>
      </w:r>
    </w:p>
    <w:p>
      <w:pPr>
        <w:pStyle w:val="Style26"/>
        <w:numPr>
          <w:ilvl w:val="0"/>
          <w:numId w:val="14"/>
        </w:numPr>
        <w:tabs>
          <w:tab w:val="clear" w:pos="708"/>
          <w:tab w:val="left" w:pos="993" w:leader="none"/>
        </w:tabs>
        <w:spacing w:lineRule="auto" w:line="360" w:before="0" w:after="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Работа с родителями гиперактивного ребенка (информирование о проблеме, обучение эффективным способам взаимодействия и общения с ребенком). </w:t>
      </w:r>
    </w:p>
    <w:p>
      <w:pPr>
        <w:pStyle w:val="Normal"/>
        <w:tabs>
          <w:tab w:val="clear" w:pos="708"/>
          <w:tab w:val="left" w:pos="993" w:leader="none"/>
        </w:tabs>
        <w:spacing w:lineRule="auto" w:line="360"/>
        <w:ind w:firstLine="567"/>
        <w:jc w:val="both"/>
        <w:rPr/>
      </w:pPr>
      <w:r>
        <w:rPr>
          <w:rFonts w:eastAsia="Calibri"/>
          <w:color w:val="000000"/>
          <w:sz w:val="24"/>
          <w:szCs w:val="24"/>
          <w:lang w:eastAsia="en-US"/>
        </w:rPr>
        <w:t>Таким образом, анализ исследований по проблеме психологического сопровождения ребенка с СДВГ показал, что авторы придерживаются мнения о многоаспектности решения данного вопроса. Программа комплексного сопровождения детей с СДВГ в условиях образовательной организации должна включать следующие компоненты: медикаментозное лечение, психолого-педагогическая профилактика и коррекция проблем развития ребенка с СДВГ, психолого-педагогическое сопровождение участников воспитательного процесса (родителей, учителей).</w:t>
      </w:r>
    </w:p>
    <w:p>
      <w:pPr>
        <w:pStyle w:val="Style25"/>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В настоящее время педагогические методы, технологии и направления, способствующих преодолению СДВГ у обучающихся, используемых в процессе организации образовательного процесса в рамках комплексного междисциплинарного подхода ориентированы преимущественно:</w:t>
      </w:r>
    </w:p>
    <w:p>
      <w:pPr>
        <w:pStyle w:val="Style25"/>
        <w:tabs>
          <w:tab w:val="clear" w:pos="708"/>
          <w:tab w:val="left" w:pos="1560" w:leader="none"/>
        </w:tabs>
        <w:spacing w:lineRule="auto" w:line="360"/>
        <w:ind w:firstLine="567"/>
        <w:jc w:val="both"/>
        <w:rPr/>
      </w:pPr>
      <w:r>
        <w:rPr>
          <w:rFonts w:cs="Times New Roman" w:ascii="Times New Roman" w:hAnsi="Times New Roman"/>
          <w:sz w:val="24"/>
          <w:szCs w:val="24"/>
        </w:rPr>
        <w:t xml:space="preserve">- </w:t>
      </w:r>
      <w:r>
        <w:rPr>
          <w:rFonts w:cs="Times New Roman" w:ascii="Times New Roman" w:hAnsi="Times New Roman"/>
          <w:i/>
          <w:sz w:val="24"/>
          <w:szCs w:val="24"/>
        </w:rPr>
        <w:t xml:space="preserve">На сохранение и укрепление здоровья школьников (в том числе детей с СДВГ) в образовательном процессе: </w:t>
      </w:r>
    </w:p>
    <w:p>
      <w:pPr>
        <w:pStyle w:val="Style25"/>
        <w:tabs>
          <w:tab w:val="clear" w:pos="708"/>
          <w:tab w:val="left" w:pos="1560" w:leader="none"/>
        </w:tabs>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Реальная разгрузка содержания образования. Использование эффективных методов обучения. Повышение удельного веса и качества занятий по физической культуре. Организация мониторинга состояния детей.</w:t>
      </w:r>
    </w:p>
    <w:p>
      <w:pPr>
        <w:pStyle w:val="Style25"/>
        <w:tabs>
          <w:tab w:val="clear" w:pos="708"/>
          <w:tab w:val="left" w:pos="1560" w:leader="none"/>
        </w:tabs>
        <w:spacing w:lineRule="auto" w:line="360"/>
        <w:ind w:firstLine="567"/>
        <w:jc w:val="both"/>
        <w:rPr>
          <w:rFonts w:ascii="Times New Roman" w:hAnsi="Times New Roman" w:cs="Times New Roman"/>
          <w:i/>
          <w:i/>
          <w:sz w:val="24"/>
          <w:szCs w:val="24"/>
        </w:rPr>
      </w:pPr>
      <w:r>
        <w:rPr>
          <w:rFonts w:cs="Times New Roman" w:ascii="Times New Roman" w:hAnsi="Times New Roman"/>
          <w:sz w:val="24"/>
          <w:szCs w:val="24"/>
        </w:rPr>
        <w:t xml:space="preserve">- </w:t>
      </w:r>
      <w:r>
        <w:rPr>
          <w:rFonts w:cs="Times New Roman" w:ascii="Times New Roman" w:hAnsi="Times New Roman"/>
          <w:i/>
          <w:sz w:val="24"/>
          <w:szCs w:val="24"/>
        </w:rPr>
        <w:t xml:space="preserve">На изменение стиля взаимоотношений ученика с учителем на основе </w:t>
      </w:r>
      <w:r>
        <w:rPr>
          <w:rFonts w:cs="Times New Roman" w:ascii="Times New Roman" w:hAnsi="Times New Roman"/>
          <w:i/>
          <w:iCs/>
          <w:sz w:val="24"/>
          <w:szCs w:val="24"/>
        </w:rPr>
        <w:t>педагогической поддержки при создании адаптивной образовательной среды:</w:t>
      </w:r>
    </w:p>
    <w:p>
      <w:pPr>
        <w:pStyle w:val="Style25"/>
        <w:numPr>
          <w:ilvl w:val="0"/>
          <w:numId w:val="22"/>
        </w:numPr>
        <w:tabs>
          <w:tab w:val="clear" w:pos="708"/>
          <w:tab w:val="left" w:pos="993" w:leader="none"/>
          <w:tab w:val="left" w:pos="1560" w:leader="none"/>
        </w:tabs>
        <w:spacing w:lineRule="auto" w:line="36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Организация условий, при которых ребенок может изменять свое отношение к трудностям с восприятия их как неприятного факта в жизни на отношение к ним как к проблеме, имеющей решение. В ходе этих преобразований педагог выводит ребенка на </w:t>
      </w:r>
      <w:r>
        <w:rPr>
          <w:rFonts w:cs="Times New Roman" w:ascii="Times New Roman" w:hAnsi="Times New Roman"/>
          <w:bCs/>
          <w:color w:val="000000"/>
          <w:sz w:val="24"/>
          <w:szCs w:val="24"/>
        </w:rPr>
        <w:t>осознание значения субъектной позиции</w:t>
      </w:r>
      <w:r>
        <w:rPr>
          <w:rFonts w:cs="Times New Roman" w:ascii="Times New Roman" w:hAnsi="Times New Roman"/>
          <w:color w:val="000000"/>
          <w:sz w:val="24"/>
          <w:szCs w:val="24"/>
        </w:rPr>
        <w:t xml:space="preserve">, на </w:t>
      </w:r>
      <w:r>
        <w:rPr>
          <w:rFonts w:cs="Times New Roman" w:ascii="Times New Roman" w:hAnsi="Times New Roman"/>
          <w:sz w:val="24"/>
          <w:szCs w:val="24"/>
        </w:rPr>
        <w:t>развитие адаптивных способностей.</w:t>
      </w:r>
    </w:p>
    <w:p>
      <w:pPr>
        <w:pStyle w:val="Style25"/>
        <w:numPr>
          <w:ilvl w:val="0"/>
          <w:numId w:val="22"/>
        </w:numPr>
        <w:tabs>
          <w:tab w:val="clear" w:pos="708"/>
          <w:tab w:val="left" w:pos="993" w:leader="none"/>
          <w:tab w:val="left" w:pos="1560" w:leader="none"/>
        </w:tabs>
        <w:spacing w:lineRule="auto" w:line="36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Содействие ребенку в его самореализации. Для преодоления конкретной проблемы, педагог организует условия для </w:t>
      </w:r>
      <w:r>
        <w:rPr>
          <w:rFonts w:cs="Times New Roman" w:ascii="Times New Roman" w:hAnsi="Times New Roman"/>
          <w:bCs/>
          <w:color w:val="000000"/>
          <w:sz w:val="24"/>
          <w:szCs w:val="24"/>
        </w:rPr>
        <w:t xml:space="preserve">пополнения имеющегося в опыте ребенка арсенала способов поведения в проблемных ситуациях. </w:t>
      </w:r>
      <w:r>
        <w:rPr>
          <w:rFonts w:cs="Times New Roman" w:ascii="Times New Roman" w:hAnsi="Times New Roman"/>
          <w:color w:val="000000"/>
          <w:sz w:val="24"/>
          <w:szCs w:val="24"/>
        </w:rPr>
        <w:t xml:space="preserve">Педагог, следуя цели "выращивания" субъектной позиции ребенка, </w:t>
      </w:r>
      <w:r>
        <w:rPr>
          <w:rFonts w:cs="Times New Roman" w:ascii="Times New Roman" w:hAnsi="Times New Roman"/>
          <w:bCs/>
          <w:color w:val="000000"/>
          <w:sz w:val="24"/>
          <w:szCs w:val="24"/>
        </w:rPr>
        <w:t xml:space="preserve">сохраняет в качестве особой </w:t>
      </w:r>
      <w:r>
        <w:rPr>
          <w:rFonts w:cs="Times New Roman" w:ascii="Times New Roman" w:hAnsi="Times New Roman"/>
          <w:color w:val="000000"/>
          <w:sz w:val="24"/>
          <w:szCs w:val="24"/>
        </w:rPr>
        <w:t>ценности</w:t>
      </w:r>
      <w:r>
        <w:rPr>
          <w:rFonts w:cs="Times New Roman" w:ascii="Times New Roman" w:hAnsi="Times New Roman"/>
          <w:bCs/>
          <w:color w:val="000000"/>
          <w:sz w:val="24"/>
          <w:szCs w:val="24"/>
        </w:rPr>
        <w:t xml:space="preserve"> его активное участие </w:t>
      </w:r>
      <w:r>
        <w:rPr>
          <w:rFonts w:cs="Times New Roman" w:ascii="Times New Roman" w:hAnsi="Times New Roman"/>
          <w:color w:val="000000"/>
          <w:sz w:val="24"/>
          <w:szCs w:val="24"/>
        </w:rPr>
        <w:t xml:space="preserve">– </w:t>
      </w:r>
      <w:r>
        <w:rPr>
          <w:rFonts w:cs="Times New Roman" w:ascii="Times New Roman" w:hAnsi="Times New Roman"/>
          <w:bCs/>
          <w:color w:val="000000"/>
          <w:sz w:val="24"/>
          <w:szCs w:val="24"/>
        </w:rPr>
        <w:t xml:space="preserve">он не запрещает ему действовать, не навязывает своего варианта решения проблемы. Педагог создает для ребенка прецедент наличия различных вариантов действий, которые ребенок осознано "примеряет" на себя и самостоятельно выбирает необходимый. </w:t>
      </w:r>
    </w:p>
    <w:p>
      <w:pPr>
        <w:pStyle w:val="Style25"/>
        <w:tabs>
          <w:tab w:val="clear" w:pos="708"/>
          <w:tab w:val="left" w:pos="1560" w:leader="none"/>
        </w:tabs>
        <w:spacing w:lineRule="auto" w:line="360"/>
        <w:ind w:firstLine="567"/>
        <w:jc w:val="both"/>
        <w:rPr>
          <w:rFonts w:ascii="Times New Roman" w:hAnsi="Times New Roman" w:cs="Times New Roman"/>
          <w:i/>
          <w:i/>
          <w:sz w:val="24"/>
          <w:szCs w:val="24"/>
        </w:rPr>
      </w:pPr>
      <w:r>
        <w:rPr>
          <w:rFonts w:cs="Times New Roman" w:ascii="Times New Roman" w:hAnsi="Times New Roman"/>
          <w:i/>
          <w:sz w:val="24"/>
          <w:szCs w:val="24"/>
        </w:rPr>
        <w:t xml:space="preserve">- Внедрение информационных технологий: </w:t>
      </w:r>
    </w:p>
    <w:p>
      <w:pPr>
        <w:pStyle w:val="Style25"/>
        <w:tabs>
          <w:tab w:val="clear" w:pos="708"/>
          <w:tab w:val="left" w:pos="1560" w:leader="none"/>
        </w:tabs>
        <w:spacing w:lineRule="auto" w:line="360"/>
        <w:ind w:firstLine="567"/>
        <w:jc w:val="both"/>
        <w:rPr/>
      </w:pPr>
      <w:r>
        <w:rPr>
          <w:rFonts w:cs="Times New Roman" w:ascii="Times New Roman" w:hAnsi="Times New Roman"/>
          <w:color w:val="000000"/>
          <w:sz w:val="24"/>
          <w:szCs w:val="24"/>
        </w:rPr>
        <w:t>Информационные технологии превращаются в инструмент, используемый во всех сферах деятельности школы, и становятся метадисциплиной. Использование возможностей ИКТ как мотивационной составляющей при работе с обучающимися с СДВГ.</w:t>
      </w:r>
    </w:p>
    <w:p>
      <w:pPr>
        <w:pStyle w:val="Style25"/>
        <w:tabs>
          <w:tab w:val="clear" w:pos="708"/>
          <w:tab w:val="left" w:pos="1560" w:leader="none"/>
        </w:tabs>
        <w:spacing w:lineRule="auto" w:line="360"/>
        <w:ind w:firstLine="567"/>
        <w:jc w:val="both"/>
        <w:rPr>
          <w:rFonts w:ascii="Times New Roman" w:hAnsi="Times New Roman" w:cs="Times New Roman"/>
          <w:i/>
          <w:i/>
          <w:color w:val="000000"/>
          <w:sz w:val="24"/>
          <w:szCs w:val="24"/>
        </w:rPr>
      </w:pPr>
      <w:r>
        <w:rPr>
          <w:rFonts w:cs="Times New Roman" w:ascii="Times New Roman" w:hAnsi="Times New Roman"/>
          <w:i/>
          <w:color w:val="000000"/>
          <w:sz w:val="24"/>
          <w:szCs w:val="24"/>
        </w:rPr>
        <w:t>- Создание модели культурно-образовательного центра в образовательном учреждении:</w:t>
      </w:r>
    </w:p>
    <w:p>
      <w:pPr>
        <w:pStyle w:val="Style25"/>
        <w:numPr>
          <w:ilvl w:val="0"/>
          <w:numId w:val="8"/>
        </w:numPr>
        <w:tabs>
          <w:tab w:val="clear" w:pos="708"/>
          <w:tab w:val="left" w:pos="993" w:leader="none"/>
          <w:tab w:val="left" w:pos="1560" w:leader="none"/>
        </w:tabs>
        <w:spacing w:lineRule="auto" w:line="360"/>
        <w:ind w:left="0" w:firstLine="567"/>
        <w:jc w:val="both"/>
        <w:rPr/>
      </w:pPr>
      <w:r>
        <w:rPr>
          <w:rFonts w:cs="Times New Roman" w:ascii="Times New Roman" w:hAnsi="Times New Roman"/>
          <w:color w:val="000000"/>
          <w:sz w:val="24"/>
          <w:szCs w:val="24"/>
        </w:rPr>
        <w:t xml:space="preserve">Новое представление о школе, как посреднике, призванном исполнять роль организатора и координатора образовательных воздействий на субъектов культуры и районного социума. </w:t>
      </w:r>
    </w:p>
    <w:p>
      <w:pPr>
        <w:pStyle w:val="Style25"/>
        <w:numPr>
          <w:ilvl w:val="0"/>
          <w:numId w:val="8"/>
        </w:numPr>
        <w:tabs>
          <w:tab w:val="clear" w:pos="708"/>
          <w:tab w:val="left" w:pos="993" w:leader="none"/>
          <w:tab w:val="left" w:pos="1560" w:leader="none"/>
        </w:tabs>
        <w:spacing w:lineRule="auto" w:line="360"/>
        <w:ind w:left="0" w:firstLine="567"/>
        <w:jc w:val="both"/>
        <w:rPr/>
      </w:pPr>
      <w:r>
        <w:rPr>
          <w:rFonts w:cs="Times New Roman" w:ascii="Times New Roman" w:hAnsi="Times New Roman"/>
          <w:color w:val="000000"/>
          <w:sz w:val="24"/>
          <w:szCs w:val="24"/>
        </w:rPr>
        <w:t xml:space="preserve">Новая роль – новое взаимодействие – новый институт (культурно-образовательный центр) – один из путей развития школы в образовательном пространстве района. </w:t>
      </w:r>
    </w:p>
    <w:p>
      <w:pPr>
        <w:pStyle w:val="Style25"/>
        <w:numPr>
          <w:ilvl w:val="0"/>
          <w:numId w:val="8"/>
        </w:numPr>
        <w:tabs>
          <w:tab w:val="clear" w:pos="708"/>
          <w:tab w:val="left" w:pos="993" w:leader="none"/>
          <w:tab w:val="left" w:pos="1560" w:leader="none"/>
        </w:tabs>
        <w:spacing w:lineRule="auto" w:line="36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Школа из транслятора культуры превращается в созидателя собственной культурно-образовательной среды, интегратора и созидателя новых сетевых образовательных взаимодействий.</w:t>
      </w:r>
    </w:p>
    <w:p>
      <w:pPr>
        <w:pStyle w:val="Style25"/>
        <w:tabs>
          <w:tab w:val="clear" w:pos="708"/>
          <w:tab w:val="left" w:pos="993" w:leader="none"/>
          <w:tab w:val="left" w:pos="1560" w:leader="none"/>
        </w:tabs>
        <w:spacing w:lineRule="auto" w:line="360"/>
        <w:ind w:firstLine="567"/>
        <w:jc w:val="both"/>
        <w:rPr/>
      </w:pPr>
      <w:r>
        <w:rPr>
          <w:rFonts w:eastAsia="Times New Roman" w:cs="Times New Roman" w:ascii="Times New Roman" w:hAnsi="Times New Roman"/>
          <w:b/>
          <w:color w:val="000000"/>
          <w:sz w:val="24"/>
          <w:szCs w:val="24"/>
        </w:rPr>
        <w:t xml:space="preserve"> </w:t>
      </w:r>
      <w:r>
        <w:rPr>
          <w:rFonts w:cs="Times New Roman" w:ascii="Times New Roman" w:hAnsi="Times New Roman"/>
          <w:b/>
          <w:color w:val="000000"/>
          <w:sz w:val="24"/>
          <w:szCs w:val="24"/>
        </w:rPr>
        <w:t xml:space="preserve">- </w:t>
      </w:r>
      <w:r>
        <w:rPr>
          <w:rFonts w:cs="Times New Roman" w:ascii="Times New Roman" w:hAnsi="Times New Roman"/>
          <w:i/>
          <w:color w:val="000000"/>
          <w:sz w:val="24"/>
          <w:szCs w:val="24"/>
        </w:rPr>
        <w:t xml:space="preserve">Функционирование в школе органов ученического самоуправления. </w:t>
      </w:r>
    </w:p>
    <w:p>
      <w:pPr>
        <w:pStyle w:val="Style25"/>
        <w:numPr>
          <w:ilvl w:val="0"/>
          <w:numId w:val="11"/>
        </w:numPr>
        <w:tabs>
          <w:tab w:val="clear" w:pos="708"/>
          <w:tab w:val="left" w:pos="993" w:leader="none"/>
          <w:tab w:val="left" w:pos="1560" w:leader="none"/>
        </w:tabs>
        <w:spacing w:lineRule="auto" w:line="360"/>
        <w:ind w:left="0" w:firstLine="567"/>
        <w:jc w:val="both"/>
        <w:rPr>
          <w:rFonts w:ascii="Times New Roman" w:hAnsi="Times New Roman" w:cs="Times New Roman"/>
          <w:b/>
          <w:b/>
          <w:color w:val="000000"/>
          <w:sz w:val="24"/>
          <w:szCs w:val="24"/>
        </w:rPr>
      </w:pPr>
      <w:r>
        <w:rPr>
          <w:rFonts w:cs="Times New Roman" w:ascii="Times New Roman" w:hAnsi="Times New Roman"/>
          <w:color w:val="000000"/>
          <w:sz w:val="24"/>
          <w:szCs w:val="24"/>
        </w:rPr>
        <w:t>Органами ученического самоуправления являются Советы классов и Союз старшеклассников, действующие на принципах равноправия, самоактивизации, организаторского саморегулирования и коллективного контроля.</w:t>
      </w:r>
    </w:p>
    <w:p>
      <w:pPr>
        <w:pStyle w:val="Style25"/>
        <w:numPr>
          <w:ilvl w:val="0"/>
          <w:numId w:val="11"/>
        </w:numPr>
        <w:tabs>
          <w:tab w:val="clear" w:pos="708"/>
          <w:tab w:val="left" w:pos="993" w:leader="none"/>
          <w:tab w:val="left" w:pos="1560" w:leader="none"/>
        </w:tabs>
        <w:spacing w:lineRule="auto" w:line="360"/>
        <w:ind w:left="0" w:firstLine="567"/>
        <w:jc w:val="both"/>
        <w:rPr>
          <w:rFonts w:ascii="Times New Roman" w:hAnsi="Times New Roman" w:cs="Times New Roman"/>
          <w:b/>
          <w:b/>
          <w:color w:val="000000"/>
          <w:sz w:val="24"/>
          <w:szCs w:val="24"/>
        </w:rPr>
      </w:pPr>
      <w:r>
        <w:rPr>
          <w:rFonts w:cs="Times New Roman" w:ascii="Times New Roman" w:hAnsi="Times New Roman"/>
          <w:color w:val="000000"/>
          <w:sz w:val="24"/>
          <w:szCs w:val="24"/>
        </w:rPr>
        <w:t>Цели: защита прав ребенка; работа над расширением прав и возможностей школьников, поощрение их инициатив; формирование и сохранение школьных традиций; совместное решение педагогами и учащимися наиболее значимых вопросов учебно-образовательного процесса; приобретение школьниками навыков организаторской, управленческой, политической и других видов деятельности в рамках дополнительного образования.</w:t>
      </w:r>
    </w:p>
    <w:p>
      <w:pPr>
        <w:pStyle w:val="Style25"/>
        <w:numPr>
          <w:ilvl w:val="0"/>
          <w:numId w:val="11"/>
        </w:numPr>
        <w:tabs>
          <w:tab w:val="clear" w:pos="708"/>
          <w:tab w:val="left" w:pos="993" w:leader="none"/>
          <w:tab w:val="left" w:pos="1560" w:leader="none"/>
        </w:tabs>
        <w:spacing w:lineRule="auto" w:line="360"/>
        <w:ind w:left="0"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Советы классов и Союз старшеклассников участвуют в планировании и организации внеклассной работы; организуют и корректируют дежурство в классе и школе; способствуют поддержанию дисциплины и порядка в школе; вносят свои предложения по активизации, совершенствованию системы самоуправления в школе; передают свои решения по определенным вопросам в администрацию школы через заместителя директора по воспитательной работе. </w:t>
      </w:r>
    </w:p>
    <w:p>
      <w:pPr>
        <w:pStyle w:val="Style25"/>
        <w:tabs>
          <w:tab w:val="clear" w:pos="708"/>
          <w:tab w:val="left" w:pos="993" w:leader="none"/>
          <w:tab w:val="left" w:pos="1560" w:leader="none"/>
        </w:tabs>
        <w:spacing w:lineRule="auto" w:line="360"/>
        <w:ind w:firstLine="567"/>
        <w:jc w:val="both"/>
        <w:rPr>
          <w:rFonts w:ascii="Times New Roman" w:hAnsi="Times New Roman" w:cs="Times New Roman"/>
          <w:bCs/>
          <w:i/>
          <w:i/>
          <w:sz w:val="24"/>
          <w:szCs w:val="24"/>
        </w:rPr>
      </w:pPr>
      <w:bookmarkStart w:id="10" w:name="_Hlk60645044"/>
      <w:bookmarkEnd w:id="10"/>
      <w:r>
        <w:rPr>
          <w:rFonts w:cs="Times New Roman" w:ascii="Times New Roman" w:hAnsi="Times New Roman"/>
          <w:bCs/>
          <w:i/>
          <w:sz w:val="24"/>
          <w:szCs w:val="24"/>
        </w:rPr>
        <w:t>Образовательная среда школы как фактор, влияющий на успешность обучения детей с СДВГ</w:t>
      </w:r>
    </w:p>
    <w:p>
      <w:pPr>
        <w:pStyle w:val="Style25"/>
        <w:tabs>
          <w:tab w:val="clear" w:pos="708"/>
          <w:tab w:val="left" w:pos="993" w:leader="none"/>
          <w:tab w:val="left" w:pos="1560" w:leader="none"/>
        </w:tabs>
        <w:spacing w:lineRule="auto" w:line="360"/>
        <w:ind w:firstLine="567"/>
        <w:jc w:val="both"/>
        <w:rPr/>
      </w:pPr>
      <w:r>
        <w:rPr>
          <w:rFonts w:cs="Times New Roman" w:ascii="Times New Roman" w:hAnsi="Times New Roman"/>
          <w:bCs/>
          <w:sz w:val="24"/>
          <w:szCs w:val="24"/>
        </w:rPr>
        <w:t xml:space="preserve">Например, в </w:t>
      </w:r>
      <w:r>
        <w:rPr>
          <w:rFonts w:cs="Times New Roman" w:ascii="Times New Roman" w:hAnsi="Times New Roman"/>
          <w:sz w:val="24"/>
          <w:szCs w:val="24"/>
        </w:rPr>
        <w:t>ГБОУ СОШ № 518 Выборгского района Санкт-Петербурга образовательная среда школы ориентирована на создание следующих условий для организации образовательного процесса детей с СДВГ:</w:t>
      </w:r>
    </w:p>
    <w:p>
      <w:pPr>
        <w:pStyle w:val="Style25"/>
        <w:numPr>
          <w:ilvl w:val="0"/>
          <w:numId w:val="4"/>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 xml:space="preserve">Создание игрового пространства в рекреациях школы способствует снятию статичного напряжения, восстановлению работоспособности; </w:t>
      </w:r>
    </w:p>
    <w:p>
      <w:pPr>
        <w:pStyle w:val="Style25"/>
        <w:numPr>
          <w:ilvl w:val="0"/>
          <w:numId w:val="4"/>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Использование различных видов познавательной активности на уроках;</w:t>
      </w:r>
    </w:p>
    <w:p>
      <w:pPr>
        <w:pStyle w:val="Style25"/>
        <w:numPr>
          <w:ilvl w:val="0"/>
          <w:numId w:val="4"/>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Коррекционно – развивающие занятия в темной сенсорной комнате;</w:t>
      </w:r>
    </w:p>
    <w:p>
      <w:pPr>
        <w:pStyle w:val="Style25"/>
        <w:numPr>
          <w:ilvl w:val="0"/>
          <w:numId w:val="4"/>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Организация второй половины дня, предоставляющая возможность ребенку попробовать себя в различных видах деятельности;</w:t>
      </w:r>
    </w:p>
    <w:p>
      <w:pPr>
        <w:pStyle w:val="Style25"/>
        <w:numPr>
          <w:ilvl w:val="0"/>
          <w:numId w:val="4"/>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 xml:space="preserve">Работа с семьей по формированию единства требований. </w:t>
      </w:r>
    </w:p>
    <w:p>
      <w:pPr>
        <w:pStyle w:val="Normal"/>
        <w:shd w:fill="FFFFFF" w:val="clear"/>
        <w:spacing w:lineRule="auto" w:line="360"/>
        <w:ind w:firstLine="567"/>
        <w:jc w:val="both"/>
        <w:rPr/>
      </w:pPr>
      <w:r>
        <w:rPr>
          <w:bCs/>
          <w:iCs/>
          <w:color w:val="000000"/>
          <w:sz w:val="24"/>
          <w:szCs w:val="24"/>
        </w:rPr>
        <w:t>О.А. Власова (2015г.) в своем исследовании обосновала Модель валеолого-педагогического сопровождения учащихся с CДВГ в образовательном процессе</w:t>
      </w:r>
      <w:r>
        <w:rPr>
          <w:b/>
          <w:bCs/>
          <w:i/>
          <w:iCs/>
          <w:color w:val="000000"/>
          <w:sz w:val="24"/>
          <w:szCs w:val="24"/>
        </w:rPr>
        <w:t xml:space="preserve">. </w:t>
      </w:r>
      <w:r>
        <w:rPr>
          <w:color w:val="000000"/>
          <w:sz w:val="24"/>
          <w:szCs w:val="24"/>
        </w:rPr>
        <w:t>Структурными компонентами модели являются следующие:</w:t>
      </w:r>
    </w:p>
    <w:p>
      <w:pPr>
        <w:pStyle w:val="Normal"/>
        <w:shd w:fill="FFFFFF" w:val="clear"/>
        <w:spacing w:lineRule="auto" w:line="360"/>
        <w:jc w:val="both"/>
        <w:rPr/>
      </w:pPr>
      <w:r>
        <w:rPr>
          <w:color w:val="000000"/>
          <w:sz w:val="24"/>
          <w:szCs w:val="24"/>
        </w:rPr>
        <w:t xml:space="preserve">- </w:t>
      </w:r>
      <w:r>
        <w:rPr>
          <w:i/>
          <w:iCs/>
          <w:color w:val="000000"/>
          <w:sz w:val="24"/>
          <w:szCs w:val="24"/>
        </w:rPr>
        <w:t xml:space="preserve">целеполагание </w:t>
      </w:r>
      <w:r>
        <w:rPr>
          <w:color w:val="000000"/>
          <w:sz w:val="24"/>
          <w:szCs w:val="24"/>
        </w:rPr>
        <w:t>как расширение сферы профессиональных компетенций педагогов в области разработки и внедрения валеолого-педагогического сопровождения;</w:t>
      </w:r>
    </w:p>
    <w:p>
      <w:pPr>
        <w:pStyle w:val="Normal"/>
        <w:shd w:fill="FFFFFF" w:val="clear"/>
        <w:spacing w:lineRule="auto" w:line="360"/>
        <w:jc w:val="both"/>
        <w:rPr/>
      </w:pPr>
      <w:r>
        <w:rPr>
          <w:color w:val="000000"/>
          <w:sz w:val="24"/>
          <w:szCs w:val="24"/>
        </w:rPr>
        <w:t xml:space="preserve">- </w:t>
      </w:r>
      <w:r>
        <w:rPr>
          <w:i/>
          <w:iCs/>
          <w:color w:val="000000"/>
          <w:sz w:val="24"/>
          <w:szCs w:val="24"/>
        </w:rPr>
        <w:t xml:space="preserve">психолого-педагогические основания </w:t>
      </w:r>
      <w:r>
        <w:rPr>
          <w:color w:val="000000"/>
          <w:sz w:val="24"/>
          <w:szCs w:val="24"/>
        </w:rPr>
        <w:t>валеолого-педагогического сопровождения (умение активизировать личностные, потенциально присутствующие, данные природой возможности; рефлексия своего опыта, самопознания и саморазвития; рефлексия валеологических знаний и создание на их основе индивидуальной программы здорового образа жизни) и системы валеологических принципов (принцип субъектной ориентированности «Не мир, а ребенок»; принцип прогнозируемой успешности «Успешность», «Воспитание достоинства»; принцип персонализации «Особенности, а не отличительность»; принцип осознания ответственности за свое здоровье);</w:t>
      </w:r>
    </w:p>
    <w:p>
      <w:pPr>
        <w:pStyle w:val="Normal"/>
        <w:shd w:fill="FFFFFF" w:val="clear"/>
        <w:spacing w:lineRule="auto" w:line="360"/>
        <w:jc w:val="both"/>
        <w:rPr/>
      </w:pPr>
      <w:r>
        <w:rPr>
          <w:color w:val="000000"/>
          <w:sz w:val="24"/>
          <w:szCs w:val="24"/>
        </w:rPr>
        <w:t xml:space="preserve">- </w:t>
      </w:r>
      <w:r>
        <w:rPr>
          <w:i/>
          <w:iCs/>
          <w:color w:val="000000"/>
          <w:sz w:val="24"/>
          <w:szCs w:val="24"/>
        </w:rPr>
        <w:t xml:space="preserve">педагогические условия </w:t>
      </w:r>
      <w:r>
        <w:rPr>
          <w:color w:val="000000"/>
          <w:sz w:val="24"/>
          <w:szCs w:val="24"/>
        </w:rPr>
        <w:t>организации процесса двудоминантного взаимодействия;</w:t>
      </w:r>
    </w:p>
    <w:p>
      <w:pPr>
        <w:pStyle w:val="Normal"/>
        <w:shd w:fill="FFFFFF" w:val="clear"/>
        <w:spacing w:lineRule="auto" w:line="360"/>
        <w:jc w:val="both"/>
        <w:rPr/>
      </w:pPr>
      <w:r>
        <w:rPr>
          <w:color w:val="000000"/>
          <w:sz w:val="24"/>
          <w:szCs w:val="24"/>
        </w:rPr>
        <w:t xml:space="preserve">- </w:t>
      </w:r>
      <w:r>
        <w:rPr>
          <w:i/>
          <w:iCs/>
          <w:color w:val="000000"/>
          <w:sz w:val="24"/>
          <w:szCs w:val="24"/>
        </w:rPr>
        <w:t xml:space="preserve">отбор технологий </w:t>
      </w:r>
      <w:r>
        <w:rPr>
          <w:color w:val="000000"/>
          <w:sz w:val="24"/>
          <w:szCs w:val="24"/>
        </w:rPr>
        <w:t>для валеолого-педагогического сопровождения по результатам диагностик на основе использования классификатора;</w:t>
      </w:r>
    </w:p>
    <w:p>
      <w:pPr>
        <w:pStyle w:val="Normal"/>
        <w:numPr>
          <w:ilvl w:val="0"/>
          <w:numId w:val="2"/>
        </w:numPr>
        <w:spacing w:lineRule="auto" w:line="360"/>
        <w:ind w:left="0" w:firstLine="567"/>
        <w:jc w:val="both"/>
        <w:rPr>
          <w:color w:val="000000"/>
        </w:rPr>
      </w:pPr>
      <w:r>
        <w:rPr>
          <w:color w:val="000000"/>
          <w:sz w:val="24"/>
          <w:szCs w:val="24"/>
        </w:rPr>
        <w:t xml:space="preserve">- </w:t>
      </w:r>
      <w:r>
        <w:rPr>
          <w:i/>
          <w:iCs/>
          <w:color w:val="000000"/>
          <w:sz w:val="24"/>
          <w:szCs w:val="24"/>
        </w:rPr>
        <w:t xml:space="preserve">эффективность, </w:t>
      </w:r>
      <w:r>
        <w:rPr>
          <w:color w:val="000000"/>
          <w:sz w:val="24"/>
          <w:szCs w:val="24"/>
        </w:rPr>
        <w:t>которая определяется по критериям: для педагогов - развитие валеологической компетентности в области взаимодействия с детьми с СДВГ (осуществление педагогической деятельности с учетом валеологической доминанты; овладение навыками саморегуляции, саморефлексии; овладение навыками моделирования взаимоотношений с ребенком с СДВГ с применением здоровьесберегающих технологий; высокая мотивация на здоровый образ жизни); для учащихся – сравнительные показатели проявления динамики улучшения (уменьшения) дефицитарных функций (улучшение эмоционального благополучия; преодоление непосредственных (импульсивных) реакций; улучшение взаимоотношений ребенка со взрослыми и сверстниками; повышение работоспособности; повышение уровня мотивации и самооценки; овладение навыками саморегуляции поведения; создание стратегии собственной деятельности по улучшению здоровья). [5</w:t>
      </w:r>
      <w:r>
        <w:rPr>
          <w:color w:val="000000"/>
        </w:rPr>
        <w:t>]</w:t>
      </w:r>
    </w:p>
    <w:p>
      <w:pPr>
        <w:pStyle w:val="Style25"/>
        <w:spacing w:lineRule="auto" w:line="360"/>
        <w:ind w:firstLine="567"/>
        <w:jc w:val="both"/>
        <w:rPr/>
      </w:pPr>
      <w:r>
        <w:rPr>
          <w:rFonts w:cs="Times New Roman" w:ascii="Times New Roman" w:hAnsi="Times New Roman"/>
          <w:i/>
          <w:sz w:val="24"/>
          <w:szCs w:val="24"/>
        </w:rPr>
        <w:t>Психолого-педагогические методы, технологии и направления, способствующие преодолению СДВГ у обучающихся</w:t>
      </w:r>
      <w:r>
        <w:rPr>
          <w:rFonts w:cs="Times New Roman" w:ascii="Times New Roman" w:hAnsi="Times New Roman"/>
          <w:sz w:val="24"/>
          <w:szCs w:val="24"/>
        </w:rPr>
        <w:t>, реализуются в рамках</w:t>
      </w:r>
      <w:r>
        <w:rPr>
          <w:rFonts w:cs="Times New Roman" w:ascii="Times New Roman" w:hAnsi="Times New Roman"/>
          <w:b/>
          <w:sz w:val="24"/>
          <w:szCs w:val="24"/>
        </w:rPr>
        <w:t xml:space="preserve"> с</w:t>
      </w:r>
      <w:r>
        <w:rPr>
          <w:rFonts w:cs="Times New Roman" w:ascii="Times New Roman" w:hAnsi="Times New Roman"/>
          <w:sz w:val="24"/>
          <w:szCs w:val="24"/>
        </w:rPr>
        <w:t xml:space="preserve">истемы психологического сопровождения образовательного процесса в общеобразовательном учреждении. </w:t>
      </w:r>
    </w:p>
    <w:p>
      <w:pPr>
        <w:pStyle w:val="Style25"/>
        <w:spacing w:lineRule="auto" w:line="360"/>
        <w:ind w:firstLine="567"/>
        <w:jc w:val="both"/>
        <w:rPr/>
      </w:pPr>
      <w:r>
        <w:rPr>
          <w:rFonts w:cs="Times New Roman" w:ascii="Times New Roman" w:hAnsi="Times New Roman"/>
          <w:sz w:val="24"/>
          <w:szCs w:val="24"/>
        </w:rPr>
        <w:t xml:space="preserve">Система сопровождения разрабатывается с учетом современных требований и задач образования, основана на идее психолого-педагогического сопровождения развития личности каждого ребенка и включенности психологической службы в процесс медико-психолого-педагогического сопровождения образовательного процесса. </w:t>
      </w:r>
    </w:p>
    <w:p>
      <w:pPr>
        <w:pStyle w:val="Style25"/>
        <w:tabs>
          <w:tab w:val="clear" w:pos="708"/>
          <w:tab w:val="left" w:pos="993" w:leader="none"/>
          <w:tab w:val="left" w:pos="1560" w:leader="none"/>
        </w:tabs>
        <w:spacing w:lineRule="auto" w:line="360"/>
        <w:ind w:firstLine="567"/>
        <w:jc w:val="both"/>
        <w:rPr>
          <w:rFonts w:ascii="Times New Roman" w:hAnsi="Times New Roman" w:cs="Times New Roman"/>
          <w:kern w:val="2"/>
          <w:sz w:val="24"/>
          <w:szCs w:val="24"/>
        </w:rPr>
      </w:pPr>
      <w:r>
        <w:rPr>
          <w:rFonts w:cs="Times New Roman" w:ascii="Times New Roman" w:hAnsi="Times New Roman"/>
          <w:sz w:val="24"/>
          <w:szCs w:val="24"/>
        </w:rPr>
        <w:t>С</w:t>
      </w:r>
      <w:r>
        <w:rPr>
          <w:rFonts w:cs="Times New Roman" w:ascii="Times New Roman" w:hAnsi="Times New Roman"/>
          <w:kern w:val="2"/>
          <w:sz w:val="24"/>
          <w:szCs w:val="24"/>
        </w:rPr>
        <w:t>истемно-деятельностный подход, являющийся основой Федерального государственного образовательного стандарта НО, ООО, предполагает следующие направления психолого-педагогического сопровождения обучающихся с СДВГ:</w:t>
      </w:r>
    </w:p>
    <w:p>
      <w:pPr>
        <w:pStyle w:val="Style25"/>
        <w:numPr>
          <w:ilvl w:val="0"/>
          <w:numId w:val="6"/>
        </w:numPr>
        <w:tabs>
          <w:tab w:val="clear" w:pos="708"/>
          <w:tab w:val="left" w:pos="993" w:leader="none"/>
          <w:tab w:val="left" w:pos="1560" w:leader="none"/>
        </w:tabs>
        <w:spacing w:lineRule="auto" w:line="360"/>
        <w:ind w:left="0" w:firstLine="567"/>
        <w:jc w:val="both"/>
        <w:rPr/>
      </w:pPr>
      <w:r>
        <w:rPr>
          <w:rStyle w:val="Dash041e005f0431005f044b005f0447005f043d005f044b005f0439005f005fchar1char1"/>
        </w:rPr>
        <w:t>Сохранение и укрепление психологического здоровья обучающихся</w:t>
      </w:r>
      <w:r>
        <w:rPr>
          <w:rFonts w:cs="Times New Roman" w:ascii="Times New Roman" w:hAnsi="Times New Roman"/>
          <w:sz w:val="24"/>
          <w:szCs w:val="24"/>
          <w:lang w:eastAsia="ru-RU"/>
        </w:rPr>
        <w:t xml:space="preserve"> с СДВГ.</w:t>
      </w:r>
    </w:p>
    <w:p>
      <w:pPr>
        <w:pStyle w:val="Style25"/>
        <w:numPr>
          <w:ilvl w:val="0"/>
          <w:numId w:val="6"/>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Индивидуализация образовательных маршрутов </w:t>
      </w:r>
      <w:r>
        <w:rPr>
          <w:rStyle w:val="Dash041e005f0431005f044b005f0447005f043d005f044b005f0439005f005fchar1char1"/>
        </w:rPr>
        <w:t>(дифференциация и индивидуализация обучения).</w:t>
      </w:r>
    </w:p>
    <w:p>
      <w:pPr>
        <w:pStyle w:val="Style25"/>
        <w:numPr>
          <w:ilvl w:val="0"/>
          <w:numId w:val="6"/>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lang w:eastAsia="ru-RU"/>
        </w:rPr>
        <w:t>Создание психологически безопасной и комфортной образовательной среды для детей с СДВГ.</w:t>
      </w:r>
    </w:p>
    <w:p>
      <w:pPr>
        <w:pStyle w:val="Style25"/>
        <w:numPr>
          <w:ilvl w:val="0"/>
          <w:numId w:val="6"/>
        </w:numPr>
        <w:tabs>
          <w:tab w:val="clear" w:pos="708"/>
          <w:tab w:val="left" w:pos="993" w:leader="none"/>
          <w:tab w:val="left" w:pos="1560" w:leader="none"/>
        </w:tabs>
        <w:spacing w:lineRule="auto" w:line="360"/>
        <w:ind w:left="0" w:firstLine="567"/>
        <w:jc w:val="both"/>
        <w:rPr>
          <w:rStyle w:val="Dash041e005f0431005f044b005f0447005f043d005f044b005f0439005f005fchar1char1"/>
        </w:rPr>
      </w:pPr>
      <w:r>
        <w:rPr>
          <w:rStyle w:val="Dash041e005f0431005f044b005f0447005f043d005f044b005f0439005f005fchar1char1"/>
        </w:rPr>
        <w:t xml:space="preserve">Формирование ценности здоровья и безопасного образа жизни у детей </w:t>
      </w:r>
      <w:r>
        <w:rPr>
          <w:rFonts w:cs="Times New Roman" w:ascii="Times New Roman" w:hAnsi="Times New Roman"/>
          <w:sz w:val="24"/>
          <w:szCs w:val="24"/>
          <w:lang w:eastAsia="ru-RU"/>
        </w:rPr>
        <w:t>с СДВГ.</w:t>
      </w:r>
    </w:p>
    <w:p>
      <w:pPr>
        <w:pStyle w:val="Style25"/>
        <w:numPr>
          <w:ilvl w:val="0"/>
          <w:numId w:val="6"/>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Style w:val="Dash041e005f0431005f044b005f0447005f043d005f044b005f0439005f005fchar1char1"/>
        </w:rPr>
        <w:t xml:space="preserve">Формирование и развитие психолого-педагогической компетентности у обучающихся </w:t>
      </w:r>
      <w:r>
        <w:rPr>
          <w:rFonts w:cs="Times New Roman" w:ascii="Times New Roman" w:hAnsi="Times New Roman"/>
          <w:sz w:val="24"/>
          <w:szCs w:val="24"/>
          <w:lang w:eastAsia="ru-RU"/>
        </w:rPr>
        <w:t>с СДВГ.</w:t>
      </w:r>
    </w:p>
    <w:p>
      <w:pPr>
        <w:pStyle w:val="Style25"/>
        <w:numPr>
          <w:ilvl w:val="0"/>
          <w:numId w:val="6"/>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Style w:val="Dash041e005f0431005f044b005f0447005f043d005f044b005f0439005f005fchar1char1"/>
        </w:rPr>
        <w:t xml:space="preserve">Формирование коммуникативных навыков в разновозрастной среде и среде сверстников у обучающихся </w:t>
      </w:r>
      <w:r>
        <w:rPr>
          <w:rFonts w:cs="Times New Roman" w:ascii="Times New Roman" w:hAnsi="Times New Roman"/>
          <w:sz w:val="24"/>
          <w:szCs w:val="24"/>
          <w:lang w:eastAsia="ru-RU"/>
        </w:rPr>
        <w:t>с СДВГ</w:t>
      </w:r>
      <w:r>
        <w:rPr>
          <w:rStyle w:val="Dash041e005f0431005f044b005f0447005f043d005f044b005f0439005f005fchar1char1"/>
        </w:rPr>
        <w:t>; поддержка детских объединений, ученического самоуправления.</w:t>
      </w:r>
    </w:p>
    <w:p>
      <w:pPr>
        <w:pStyle w:val="Style25"/>
        <w:tabs>
          <w:tab w:val="clear" w:pos="708"/>
          <w:tab w:val="left" w:pos="993" w:leader="none"/>
          <w:tab w:val="left" w:pos="1560" w:leader="none"/>
        </w:tabs>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Построение эффективной системы сопровождения обучающихся с</w:t>
      </w:r>
      <w:r>
        <w:rPr>
          <w:rFonts w:cs="Times New Roman" w:ascii="Times New Roman" w:hAnsi="Times New Roman"/>
          <w:sz w:val="24"/>
          <w:szCs w:val="24"/>
          <w:lang w:eastAsia="ru-RU"/>
        </w:rPr>
        <w:t xml:space="preserve"> СДВГ</w:t>
      </w:r>
      <w:r>
        <w:rPr>
          <w:rFonts w:cs="Times New Roman" w:ascii="Times New Roman" w:hAnsi="Times New Roman"/>
          <w:sz w:val="24"/>
          <w:szCs w:val="24"/>
        </w:rPr>
        <w:t xml:space="preserve"> позволит решать проблемы развития и обучения детей внутри образовательной среды учреждения, избежать необоснованной переадресации проблемы ребенка внешним службам, сократить число детей, направляемых в специальные образовательные учреждения. При этом учитывается:</w:t>
      </w:r>
    </w:p>
    <w:p>
      <w:pPr>
        <w:pStyle w:val="Style25"/>
        <w:numPr>
          <w:ilvl w:val="0"/>
          <w:numId w:val="26"/>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Style w:val="Dash041e005f0431005f044b005f0447005f043d005f044b005f0439005f005fchar1char1"/>
        </w:rPr>
        <w:t>диверсификация уровней психолого-педагогического сопровождения (индивидуальный, групповой, уровень класса, уровень учреждения);</w:t>
      </w:r>
    </w:p>
    <w:p>
      <w:pPr>
        <w:pStyle w:val="Style25"/>
        <w:numPr>
          <w:ilvl w:val="0"/>
          <w:numId w:val="26"/>
        </w:numPr>
        <w:tabs>
          <w:tab w:val="clear" w:pos="708"/>
          <w:tab w:val="left" w:pos="993" w:leader="none"/>
          <w:tab w:val="left" w:pos="1560" w:leader="none"/>
        </w:tabs>
        <w:spacing w:lineRule="auto" w:line="360"/>
        <w:ind w:left="0" w:firstLine="567"/>
        <w:jc w:val="both"/>
        <w:rPr/>
      </w:pPr>
      <w:r>
        <w:rPr>
          <w:rStyle w:val="Default005f005fchar1char1"/>
        </w:rPr>
        <w:t>вариативность видов психологического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pPr>
        <w:pStyle w:val="Style25"/>
        <w:tabs>
          <w:tab w:val="clear" w:pos="708"/>
          <w:tab w:val="left" w:pos="993" w:leader="none"/>
          <w:tab w:val="left" w:pos="1560" w:leader="none"/>
        </w:tabs>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Выбор методов и приемов психолого-педагогического сопровождения детей с СДВГ в образовательном процессе осуществляется на основе первичной диагностики с учетом типа СДВГ:</w:t>
      </w:r>
    </w:p>
    <w:p>
      <w:pPr>
        <w:pStyle w:val="Style25"/>
        <w:tabs>
          <w:tab w:val="clear" w:pos="708"/>
          <w:tab w:val="left" w:pos="993" w:leader="none"/>
          <w:tab w:val="left" w:pos="1560" w:leader="none"/>
        </w:tabs>
        <w:spacing w:lineRule="auto" w:line="360"/>
        <w:ind w:firstLine="567"/>
        <w:jc w:val="both"/>
        <w:rPr/>
      </w:pPr>
      <w:r>
        <w:rPr>
          <w:rFonts w:cs="Times New Roman" w:ascii="Times New Roman" w:hAnsi="Times New Roman"/>
          <w:i/>
          <w:sz w:val="24"/>
          <w:szCs w:val="24"/>
        </w:rPr>
        <w:t>СДВГ по гипоактивному типу.</w:t>
      </w:r>
      <w:r>
        <w:rPr>
          <w:rFonts w:cs="Times New Roman" w:ascii="Times New Roman" w:hAnsi="Times New Roman"/>
          <w:sz w:val="24"/>
          <w:szCs w:val="24"/>
        </w:rPr>
        <w:t xml:space="preserve"> Связан с парциальной несформированностью у ребенка функций программирования, регуляции и контроля, трудностями удержания и усвоения алгоритма деятельности. Используются:</w:t>
      </w:r>
    </w:p>
    <w:p>
      <w:pPr>
        <w:pStyle w:val="Style25"/>
        <w:tabs>
          <w:tab w:val="clear" w:pos="708"/>
          <w:tab w:val="left" w:pos="993" w:leader="none"/>
          <w:tab w:val="left" w:pos="1560" w:leader="none"/>
        </w:tabs>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-методы произвольной активности и внимания;</w:t>
      </w:r>
    </w:p>
    <w:p>
      <w:pPr>
        <w:pStyle w:val="Style25"/>
        <w:tabs>
          <w:tab w:val="clear" w:pos="708"/>
          <w:tab w:val="left" w:pos="993" w:leader="none"/>
          <w:tab w:val="left" w:pos="1560" w:leader="none"/>
        </w:tabs>
        <w:spacing w:lineRule="auto" w:line="360"/>
        <w:ind w:firstLine="567"/>
        <w:jc w:val="both"/>
        <w:rPr/>
      </w:pPr>
      <w:r>
        <w:rPr>
          <w:rFonts w:cs="Times New Roman" w:ascii="Times New Roman" w:hAnsi="Times New Roman"/>
          <w:sz w:val="24"/>
          <w:szCs w:val="24"/>
        </w:rPr>
        <w:t>-методы психомоторного сопровождения (метод замещающего онтогенеза А.В. Семенович);</w:t>
      </w:r>
    </w:p>
    <w:p>
      <w:pPr>
        <w:pStyle w:val="Style25"/>
        <w:tabs>
          <w:tab w:val="clear" w:pos="708"/>
          <w:tab w:val="left" w:pos="993" w:leader="none"/>
          <w:tab w:val="left" w:pos="1560" w:leader="none"/>
        </w:tabs>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-методы поведенческой терапии;</w:t>
      </w:r>
    </w:p>
    <w:p>
      <w:pPr>
        <w:pStyle w:val="Style25"/>
        <w:tabs>
          <w:tab w:val="clear" w:pos="708"/>
          <w:tab w:val="left" w:pos="993" w:leader="none"/>
          <w:tab w:val="left" w:pos="1560" w:leader="none"/>
        </w:tabs>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-компьютеризированные методики тренировки активного внимания;</w:t>
      </w:r>
    </w:p>
    <w:p>
      <w:pPr>
        <w:pStyle w:val="Style25"/>
        <w:tabs>
          <w:tab w:val="clear" w:pos="708"/>
          <w:tab w:val="left" w:pos="993" w:leader="none"/>
          <w:tab w:val="left" w:pos="1560" w:leader="none"/>
        </w:tabs>
        <w:spacing w:lineRule="auto" w:line="360"/>
        <w:ind w:firstLine="567"/>
        <w:jc w:val="both"/>
        <w:rPr/>
      </w:pPr>
      <w:r>
        <w:rPr>
          <w:rFonts w:cs="Times New Roman" w:ascii="Times New Roman" w:hAnsi="Times New Roman"/>
          <w:sz w:val="24"/>
          <w:szCs w:val="24"/>
        </w:rPr>
        <w:t>-методы жесткой внешней организации (четкость, строгость, дозированный контроль, отсутствие «лишних» стимулов).</w:t>
      </w:r>
    </w:p>
    <w:p>
      <w:pPr>
        <w:pStyle w:val="Style25"/>
        <w:tabs>
          <w:tab w:val="clear" w:pos="708"/>
          <w:tab w:val="left" w:pos="993" w:leader="none"/>
          <w:tab w:val="left" w:pos="1560" w:leader="none"/>
        </w:tabs>
        <w:spacing w:lineRule="auto" w:line="360"/>
        <w:ind w:firstLine="567"/>
        <w:jc w:val="both"/>
        <w:rPr/>
      </w:pPr>
      <w:r>
        <w:rPr>
          <w:rFonts w:cs="Times New Roman" w:ascii="Times New Roman" w:hAnsi="Times New Roman"/>
          <w:i/>
          <w:sz w:val="24"/>
          <w:szCs w:val="24"/>
        </w:rPr>
        <w:t>СДВГ по гиперактивному типу</w:t>
      </w:r>
      <w:r>
        <w:rPr>
          <w:rFonts w:cs="Times New Roman" w:ascii="Times New Roman" w:hAnsi="Times New Roman"/>
          <w:sz w:val="24"/>
          <w:szCs w:val="24"/>
        </w:rPr>
        <w:t>. Связан с парциальной несформированностью у ребенка функций программирования, регуляции и контроля и высоким уровнем психического тонуса. Используются:</w:t>
      </w:r>
    </w:p>
    <w:p>
      <w:pPr>
        <w:pStyle w:val="Style25"/>
        <w:numPr>
          <w:ilvl w:val="0"/>
          <w:numId w:val="3"/>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методы произвольной регуляции деятельности (развивающие произвольный контроль двигательной сферы), в том числе: занятия ЛФК, спортивные занятия, занятия плаванием, танцами и т. п.;</w:t>
      </w:r>
    </w:p>
    <w:p>
      <w:pPr>
        <w:pStyle w:val="Style25"/>
        <w:numPr>
          <w:ilvl w:val="0"/>
          <w:numId w:val="3"/>
        </w:numPr>
        <w:tabs>
          <w:tab w:val="clear" w:pos="708"/>
          <w:tab w:val="left" w:pos="993" w:leader="none"/>
          <w:tab w:val="left" w:pos="1560" w:leader="none"/>
        </w:tabs>
        <w:spacing w:lineRule="auto" w:line="360"/>
        <w:ind w:left="0" w:firstLine="567"/>
        <w:jc w:val="both"/>
        <w:rPr/>
      </w:pPr>
      <w:r>
        <w:rPr>
          <w:rFonts w:cs="Times New Roman" w:ascii="Times New Roman" w:hAnsi="Times New Roman"/>
          <w:sz w:val="24"/>
          <w:szCs w:val="24"/>
        </w:rPr>
        <w:t>методы эмоциональной поддержки со стороны окружающих ребенка взрослых. «Положительная» эмоциональная стимуляция помогает некоторое время поддерживать необходимый психический тонус без усиления активности. Дети с СДВГ лучше ведут себя с теми педагогами, к которым у них формируется эмоциональная привязанность. Такие дети нуждаются в эмоциональной близости с педагогом, в своеобразном эмоциональном «донорстве». Именно эти способы эмоционального «поглаживания» способны повысить психический тонус ребенка и тем самым частично снять феномен двигательной расторможенности.</w:t>
      </w:r>
    </w:p>
    <w:p>
      <w:pPr>
        <w:pStyle w:val="Style25"/>
        <w:numPr>
          <w:ilvl w:val="0"/>
          <w:numId w:val="24"/>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методы поддержки стремления к лидерству;</w:t>
      </w:r>
    </w:p>
    <w:p>
      <w:pPr>
        <w:pStyle w:val="Style25"/>
        <w:numPr>
          <w:ilvl w:val="0"/>
          <w:numId w:val="24"/>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методы переключения внимания и деятельности ребенка на другой объект.</w:t>
      </w:r>
    </w:p>
    <w:p>
      <w:pPr>
        <w:pStyle w:val="Style25"/>
        <w:tabs>
          <w:tab w:val="clear" w:pos="708"/>
          <w:tab w:val="left" w:pos="993" w:leader="none"/>
          <w:tab w:val="left" w:pos="1560" w:leader="none"/>
        </w:tabs>
        <w:spacing w:lineRule="auto" w:line="360"/>
        <w:ind w:firstLine="567"/>
        <w:jc w:val="both"/>
        <w:rPr/>
      </w:pPr>
      <w:r>
        <w:rPr>
          <w:rFonts w:cs="Times New Roman" w:ascii="Times New Roman" w:hAnsi="Times New Roman"/>
          <w:i/>
          <w:sz w:val="24"/>
          <w:szCs w:val="24"/>
        </w:rPr>
        <w:t>Синдром дефицита внимания без гиперактивности</w:t>
      </w:r>
      <w:r>
        <w:rPr>
          <w:rFonts w:cs="Times New Roman" w:ascii="Times New Roman" w:hAnsi="Times New Roman"/>
          <w:sz w:val="24"/>
          <w:szCs w:val="24"/>
        </w:rPr>
        <w:t>. Рассматривается, как парциальная несформированность регуляторных функций, связанная с недостаточностью психического тонуса. Первичным дефектом для детей с таким типом нарушений дефицитом внимания является функциональная недостаточность субкортикальных структур мозга. Слабость мнестической деятельности обусловлена трудностями использования стратегий при запоминании и воспроизведении, а не памяти. Используются:</w:t>
      </w:r>
    </w:p>
    <w:p>
      <w:pPr>
        <w:pStyle w:val="Style25"/>
        <w:numPr>
          <w:ilvl w:val="0"/>
          <w:numId w:val="15"/>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методы тонизации, в том числе метод повышения уровня психической активности посредством внешней контактной тонизации. Эффективны массаж, ЛФК, дыхательная гимнастика;</w:t>
      </w:r>
    </w:p>
    <w:p>
      <w:pPr>
        <w:pStyle w:val="Style25"/>
        <w:numPr>
          <w:ilvl w:val="0"/>
          <w:numId w:val="15"/>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методы комплексной сенсорной стимуляции.  Иппотерапия, цветотерапия, ароматерапия, музыкотерапия и др.;</w:t>
      </w:r>
    </w:p>
    <w:p>
      <w:pPr>
        <w:pStyle w:val="Style25"/>
        <w:numPr>
          <w:ilvl w:val="0"/>
          <w:numId w:val="15"/>
        </w:numPr>
        <w:tabs>
          <w:tab w:val="clear" w:pos="708"/>
          <w:tab w:val="left" w:pos="993" w:leader="none"/>
          <w:tab w:val="left" w:pos="1560" w:leader="none"/>
        </w:tabs>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методы психомоторной коррекции. При перевозбуждении наиболее оптимальная стратегия – скорейшее восстановление саморегуляции за счет повышения уровня психического тонуса. Для этого не надо препятствовать моторной активности ребенка, усилить психическую тонизацию лучше за счет ритмичной слуховой или зрительной стимуляции.</w:t>
      </w:r>
    </w:p>
    <w:p>
      <w:pPr>
        <w:pStyle w:val="Normal"/>
        <w:tabs>
          <w:tab w:val="clear" w:pos="708"/>
          <w:tab w:val="left" w:pos="3800" w:leader="none"/>
          <w:tab w:val="center" w:pos="5032" w:leader="none"/>
        </w:tabs>
        <w:spacing w:lineRule="auto" w:line="360"/>
        <w:ind w:firstLine="567"/>
        <w:jc w:val="both"/>
        <w:rPr>
          <w:rFonts w:eastAsia="Calibri"/>
          <w:iCs/>
          <w:sz w:val="24"/>
          <w:szCs w:val="24"/>
          <w:lang w:eastAsia="en-US"/>
        </w:rPr>
      </w:pPr>
      <w:r>
        <w:rPr>
          <w:iCs/>
          <w:color w:val="000000"/>
          <w:sz w:val="24"/>
          <w:szCs w:val="24"/>
        </w:rPr>
        <w:t xml:space="preserve">Слушатели курсов повышения квалификации при реализации программы приняли участие в апробации </w:t>
      </w:r>
      <w:r>
        <w:rPr>
          <w:rFonts w:eastAsia="Calibri"/>
          <w:iCs/>
          <w:sz w:val="24"/>
          <w:szCs w:val="24"/>
        </w:rPr>
        <w:t>технологии выявления обучающихся «группы риска СДВГ» с опорой на педагогический подход.</w:t>
      </w:r>
    </w:p>
    <w:p>
      <w:pPr>
        <w:pStyle w:val="Normal"/>
        <w:widowControl w:val="false"/>
        <w:tabs>
          <w:tab w:val="clear" w:pos="708"/>
          <w:tab w:val="left" w:pos="993" w:leader="none"/>
        </w:tabs>
        <w:autoSpaceDE w:val="false"/>
        <w:spacing w:lineRule="auto" w:line="360"/>
        <w:ind w:firstLine="567"/>
        <w:jc w:val="both"/>
        <w:rPr>
          <w:rFonts w:eastAsia="Calibri"/>
          <w:bCs/>
          <w:sz w:val="24"/>
          <w:szCs w:val="24"/>
          <w:lang w:eastAsia="en-US"/>
        </w:rPr>
      </w:pPr>
      <w:r>
        <w:rPr>
          <w:rFonts w:eastAsia="Calibri"/>
          <w:bCs/>
          <w:i/>
          <w:iCs/>
          <w:sz w:val="24"/>
          <w:szCs w:val="24"/>
          <w:lang w:eastAsia="en-US"/>
        </w:rPr>
        <w:t>Объектом исследования</w:t>
      </w:r>
      <w:r>
        <w:rPr>
          <w:rFonts w:eastAsia="Calibri"/>
          <w:bCs/>
          <w:sz w:val="24"/>
          <w:szCs w:val="24"/>
          <w:lang w:eastAsia="en-US"/>
        </w:rPr>
        <w:t xml:space="preserve"> стал комплекс когнитивных, эмоционально-волевых, личностных и поведенческих характеристик обучающихся </w:t>
      </w:r>
      <w:r>
        <w:rPr>
          <w:rFonts w:eastAsia="Calibri"/>
          <w:sz w:val="24"/>
          <w:szCs w:val="24"/>
          <w:lang w:eastAsia="en-US"/>
        </w:rPr>
        <w:t xml:space="preserve">7-14 лет (1-7 класс) </w:t>
      </w:r>
      <w:r>
        <w:rPr>
          <w:rFonts w:eastAsia="Calibri"/>
          <w:bCs/>
          <w:sz w:val="24"/>
          <w:szCs w:val="24"/>
          <w:lang w:eastAsia="en-US"/>
        </w:rPr>
        <w:t xml:space="preserve">с СДВГ, семейных и педагогических ресурсов, создающих возможность компенсаторного </w:t>
      </w:r>
      <w:r>
        <w:rPr>
          <w:rFonts w:eastAsia="Calibri"/>
          <w:sz w:val="24"/>
          <w:szCs w:val="24"/>
          <w:lang w:eastAsia="en-US"/>
        </w:rPr>
        <w:t>развития дефицитарных функций (свойств внимания, контроля поведения, двигательного контроля)</w:t>
      </w:r>
      <w:r>
        <w:rPr>
          <w:rFonts w:eastAsia="Calibri"/>
          <w:bCs/>
          <w:sz w:val="24"/>
          <w:szCs w:val="24"/>
          <w:lang w:eastAsia="en-US"/>
        </w:rPr>
        <w:t xml:space="preserve"> и </w:t>
      </w:r>
      <w:r>
        <w:rPr>
          <w:rFonts w:eastAsia="Calibri"/>
          <w:sz w:val="24"/>
          <w:szCs w:val="24"/>
          <w:lang w:eastAsia="en-US"/>
        </w:rPr>
        <w:t>преодоления последствий СДВГ у обучающихся в образовательном процессе.</w:t>
      </w:r>
    </w:p>
    <w:p>
      <w:pPr>
        <w:pStyle w:val="Normal"/>
        <w:spacing w:lineRule="auto" w:line="360" w:before="0" w:after="0"/>
        <w:ind w:firstLine="567"/>
        <w:contextualSpacing/>
        <w:jc w:val="both"/>
        <w:rPr/>
      </w:pPr>
      <w:r>
        <w:rPr>
          <w:rFonts w:eastAsia="Calibri"/>
          <w:bCs/>
          <w:i/>
          <w:sz w:val="24"/>
          <w:szCs w:val="24"/>
          <w:lang w:eastAsia="en-US"/>
        </w:rPr>
        <w:t>Предметом исследования</w:t>
      </w:r>
      <w:r>
        <w:rPr>
          <w:rFonts w:eastAsia="Calibri"/>
          <w:bCs/>
          <w:sz w:val="24"/>
          <w:szCs w:val="24"/>
          <w:lang w:eastAsia="en-US"/>
        </w:rPr>
        <w:t xml:space="preserve"> была обозначена система </w:t>
      </w:r>
      <w:r>
        <w:rPr>
          <w:rFonts w:eastAsia="Calibri"/>
          <w:sz w:val="24"/>
          <w:szCs w:val="24"/>
          <w:lang w:eastAsia="en-US"/>
        </w:rPr>
        <w:t>организационно-педагогических условий и программно-методического обеспечения, включенная в комплексную модель совершенствования условий организации и осуществления образовательного процесса для преодоления СДВГ у обучающихся 7-14 лет (1-7 класс).</w:t>
      </w:r>
    </w:p>
    <w:p>
      <w:pPr>
        <w:pStyle w:val="Normal"/>
        <w:spacing w:lineRule="auto" w:line="360" w:before="0" w:after="0"/>
        <w:ind w:firstLine="567"/>
        <w:contextualSpacing/>
        <w:jc w:val="both"/>
        <w:rPr/>
      </w:pPr>
      <w:r>
        <w:rPr>
          <w:rFonts w:eastAsia="Calibri"/>
          <w:bCs/>
          <w:i/>
          <w:sz w:val="24"/>
          <w:szCs w:val="24"/>
          <w:lang w:eastAsia="en-US"/>
        </w:rPr>
        <w:t>Гипотеза</w:t>
      </w:r>
      <w:r>
        <w:rPr>
          <w:rFonts w:eastAsia="Calibri"/>
          <w:bCs/>
          <w:sz w:val="24"/>
          <w:szCs w:val="24"/>
          <w:lang w:eastAsia="en-US"/>
        </w:rPr>
        <w:t xml:space="preserve"> </w:t>
      </w:r>
      <w:r>
        <w:rPr>
          <w:rFonts w:eastAsia="Calibri"/>
          <w:bCs/>
          <w:i/>
          <w:sz w:val="24"/>
          <w:szCs w:val="24"/>
          <w:lang w:eastAsia="en-US"/>
        </w:rPr>
        <w:t>исследования</w:t>
      </w:r>
      <w:r>
        <w:rPr>
          <w:rFonts w:eastAsia="Calibri"/>
          <w:bCs/>
          <w:sz w:val="24"/>
          <w:szCs w:val="24"/>
          <w:lang w:eastAsia="en-US"/>
        </w:rPr>
        <w:t xml:space="preserve"> была сформулирована как предположение о том, что эффективному достижению личностных результатов обучения и воспитания детей с СДВГ будет способствовать особая систематически реализуемая </w:t>
      </w:r>
      <w:r>
        <w:rPr>
          <w:rFonts w:eastAsia="Calibri"/>
          <w:sz w:val="24"/>
          <w:szCs w:val="24"/>
          <w:lang w:eastAsia="en-US"/>
        </w:rPr>
        <w:t>комплексная модель совершенствования условий организации и осуществления образовательного процесса на основе интеграции педагогического, психологического и медицинского подходов, социального партнерства с родителями.</w:t>
      </w:r>
    </w:p>
    <w:p>
      <w:pPr>
        <w:pStyle w:val="Normal"/>
        <w:spacing w:lineRule="auto" w:line="360"/>
        <w:ind w:firstLine="567"/>
        <w:jc w:val="both"/>
        <w:rPr/>
      </w:pPr>
      <w:r>
        <w:rPr>
          <w:rFonts w:eastAsia="Calibri"/>
          <w:i/>
          <w:sz w:val="24"/>
          <w:szCs w:val="24"/>
          <w:lang w:eastAsia="en-US"/>
        </w:rPr>
        <w:t>Описание организации исследования:</w:t>
      </w:r>
    </w:p>
    <w:p>
      <w:pPr>
        <w:pStyle w:val="Normal"/>
        <w:tabs>
          <w:tab w:val="clear" w:pos="708"/>
          <w:tab w:val="left" w:pos="851" w:leader="none"/>
        </w:tabs>
        <w:spacing w:lineRule="auto" w:line="360"/>
        <w:ind w:firstLine="567"/>
        <w:jc w:val="both"/>
        <w:rPr>
          <w:rFonts w:eastAsia="Calibri"/>
          <w:sz w:val="24"/>
          <w:szCs w:val="24"/>
          <w:lang w:eastAsia="en-US"/>
        </w:rPr>
      </w:pPr>
      <w:r>
        <w:rPr>
          <w:rFonts w:eastAsia="Calibri"/>
          <w:sz w:val="24"/>
          <w:szCs w:val="24"/>
          <w:lang w:eastAsia="en-US"/>
        </w:rPr>
        <w:t>По мнению специалистов, главным инструментом, который может использовать педагог, является метод наблюдения (систематического, фиксированного), результаты которого можно соотнести с основными симптомами, описанными в МКБ-10 и с диагностическими критериями DSM-IV (1994).</w:t>
      </w:r>
    </w:p>
    <w:p>
      <w:pPr>
        <w:pStyle w:val="Normal"/>
        <w:tabs>
          <w:tab w:val="clear" w:pos="708"/>
          <w:tab w:val="left" w:pos="851" w:leader="none"/>
        </w:tabs>
        <w:spacing w:lineRule="auto" w:line="360"/>
        <w:ind w:firstLine="567"/>
        <w:jc w:val="both"/>
        <w:rPr>
          <w:rFonts w:eastAsia="Calibri"/>
          <w:sz w:val="24"/>
          <w:szCs w:val="24"/>
          <w:lang w:eastAsia="en-US"/>
        </w:rPr>
      </w:pPr>
      <w:r>
        <w:rPr>
          <w:rFonts w:eastAsia="Calibri"/>
          <w:sz w:val="24"/>
          <w:szCs w:val="24"/>
          <w:lang w:eastAsia="en-US"/>
        </w:rPr>
        <w:t>Благодаря направленному наблюдению педагог сможет отметить особенности поведения и развития ребенка с СДВГ, избежать ошибочного приписывания данного синдрома импульсивным, одаренным, тревожным детям, у которых могут наблюдаться отдельные схожие признаки (несдержанность, суетливость, невнимательность и др.) [12]</w:t>
      </w:r>
    </w:p>
    <w:p>
      <w:pPr>
        <w:pStyle w:val="Normal"/>
        <w:tabs>
          <w:tab w:val="clear" w:pos="708"/>
          <w:tab w:val="left" w:pos="720" w:leader="none"/>
        </w:tabs>
        <w:spacing w:lineRule="auto" w:line="357"/>
        <w:ind w:right="76" w:firstLine="567"/>
        <w:jc w:val="both"/>
        <w:rPr>
          <w:rFonts w:eastAsia="Calibri"/>
          <w:sz w:val="24"/>
          <w:szCs w:val="24"/>
          <w:lang w:eastAsia="en-US"/>
        </w:rPr>
      </w:pPr>
      <w:r>
        <w:rPr>
          <w:rFonts w:eastAsia="Calibri"/>
          <w:sz w:val="24"/>
          <w:szCs w:val="24"/>
          <w:lang w:eastAsia="en-US"/>
        </w:rPr>
        <w:t>В рамках исследования, для выявления педагогами обучающихся группы риска СДВГ, применялись следующие методики: [24]</w:t>
      </w:r>
    </w:p>
    <w:p>
      <w:pPr>
        <w:pStyle w:val="Normal"/>
        <w:tabs>
          <w:tab w:val="clear" w:pos="708"/>
          <w:tab w:val="left" w:pos="851" w:leader="none"/>
        </w:tabs>
        <w:spacing w:lineRule="auto" w:line="360" w:before="0" w:after="0"/>
        <w:ind w:firstLine="567"/>
        <w:contextualSpacing/>
        <w:jc w:val="both"/>
        <w:rPr>
          <w:sz w:val="24"/>
          <w:szCs w:val="24"/>
          <w:lang w:val="en-US"/>
        </w:rPr>
      </w:pPr>
      <w:r>
        <w:rPr>
          <w:sz w:val="24"/>
          <w:szCs w:val="24"/>
          <w:lang w:val="en-US"/>
        </w:rPr>
        <w:t xml:space="preserve">Анкета «Невнимательность-Импульсивность», составленная Н.И. Цыганковой на основе диагностических критериев МКБ-10. Педагогу предлагалось заполнить анкету в результате педагогического наблюдения с учетом диагностических критериев и определить обучающихся, поведение которых соотносится с показателями невнимательности и импульсивности, обозначенными в рубрике 90.0 по МКБ-10. </w:t>
      </w:r>
      <w:r>
        <w:rPr>
          <w:color w:val="000000"/>
          <w:sz w:val="24"/>
          <w:szCs w:val="24"/>
          <w:lang w:val="en-US"/>
        </w:rPr>
        <w:t>Использование этой формы позволяет выделить группу детей, которых, по наблюдениям педагогов, можно отнести к группе обучающихся с особыми образовательными потребностями, в связи с проявлениями у них СДВГ.</w:t>
      </w:r>
    </w:p>
    <w:p>
      <w:pPr>
        <w:pStyle w:val="Normal"/>
        <w:tabs>
          <w:tab w:val="clear" w:pos="708"/>
          <w:tab w:val="left" w:pos="851" w:leader="none"/>
        </w:tabs>
        <w:spacing w:lineRule="auto" w:line="360" w:before="0" w:after="0"/>
        <w:ind w:firstLine="567"/>
        <w:contextualSpacing/>
        <w:jc w:val="both"/>
        <w:rPr/>
      </w:pPr>
      <w:r>
        <w:rPr>
          <w:sz w:val="24"/>
          <w:szCs w:val="24"/>
          <w:lang w:val="en-US"/>
        </w:rPr>
        <w:t xml:space="preserve">Карта наблюдений Стотта в обработке Л.А. Регуш. Данная методика позволяет педагогам провести структурированное наблюдение за </w:t>
      </w:r>
      <w:r>
        <w:rPr>
          <w:sz w:val="24"/>
          <w:szCs w:val="24"/>
        </w:rPr>
        <w:t xml:space="preserve">поведением </w:t>
      </w:r>
      <w:r>
        <w:rPr>
          <w:sz w:val="24"/>
          <w:szCs w:val="24"/>
          <w:lang w:val="en-US"/>
        </w:rPr>
        <w:t>обучающи</w:t>
      </w:r>
      <w:r>
        <w:rPr>
          <w:sz w:val="24"/>
          <w:szCs w:val="24"/>
        </w:rPr>
        <w:t>хся.</w:t>
      </w:r>
      <w:r>
        <w:rPr>
          <w:sz w:val="24"/>
          <w:szCs w:val="24"/>
          <w:lang w:val="en-US"/>
        </w:rPr>
        <w:t xml:space="preserve"> Карта наблюдений Стотта состоит из 16 комплексов симптомов-образцов поведения, симптомокомплексов (СК). Методика предназначена для изучения особенностей учеников, дезадаптированных к условиям школы. По данным исследований, к наиболее частым причинам школьной дезадаптации относится именно СДВГ. К дезадаптированным относятся два типа учеников: первый — которые сами испытывают трудности и создают множество трудностей для окружения (техперсонала, педагогов и других детей), второй — которым в школе трудно, но окружающим они не доставляют неприятностей. </w:t>
      </w:r>
      <w:r>
        <w:rPr>
          <w:sz w:val="24"/>
          <w:szCs w:val="24"/>
        </w:rPr>
        <w:t xml:space="preserve">Полученные данные были обработаны при помощи методов математической статистики: методы описательной статистики, корреляционный анализ (коэффициент Пирсона, </w:t>
      </w:r>
      <w:r>
        <w:rPr>
          <w:bCs/>
          <w:sz w:val="24"/>
          <w:szCs w:val="24"/>
          <w:lang w:val="en-US"/>
        </w:rPr>
        <w:t>r-Пирсона</w:t>
      </w:r>
      <w:r>
        <w:rPr>
          <w:sz w:val="24"/>
          <w:szCs w:val="24"/>
        </w:rPr>
        <w:t>).</w:t>
      </w:r>
    </w:p>
    <w:p>
      <w:pPr>
        <w:pStyle w:val="Normal"/>
        <w:spacing w:lineRule="auto" w:line="360"/>
        <w:ind w:firstLine="567"/>
        <w:jc w:val="both"/>
        <w:rPr>
          <w:sz w:val="24"/>
          <w:szCs w:val="24"/>
          <w:lang w:val="en-US"/>
        </w:rPr>
      </w:pPr>
      <w:r>
        <w:rPr>
          <w:sz w:val="24"/>
          <w:szCs w:val="24"/>
          <w:lang w:val="en-US"/>
        </w:rPr>
        <w:t xml:space="preserve">Всего в исследовании приняло участие 116 педагогов (1-7 классы) из 22-х школ Выборгского района Санкт-Петербурга. Педагогами было заполнено 192 анкеты на учащихся 1-7 классов. </w:t>
      </w:r>
    </w:p>
    <w:p>
      <w:pPr>
        <w:pStyle w:val="Normal"/>
        <w:tabs>
          <w:tab w:val="clear" w:pos="708"/>
          <w:tab w:val="left" w:pos="851" w:leader="none"/>
          <w:tab w:val="left" w:pos="993" w:leader="none"/>
          <w:tab w:val="left" w:pos="1560" w:leader="none"/>
        </w:tabs>
        <w:spacing w:lineRule="auto" w:line="360"/>
        <w:jc w:val="both"/>
        <w:rPr>
          <w:rFonts w:eastAsia="Calibri"/>
          <w:sz w:val="24"/>
          <w:szCs w:val="24"/>
          <w:lang w:eastAsia="en-US"/>
        </w:rPr>
      </w:pPr>
      <w:r>
        <w:rPr>
          <w:rFonts w:eastAsia="Calibri"/>
          <w:sz w:val="24"/>
          <w:szCs w:val="24"/>
          <w:lang w:eastAsia="en-US"/>
        </w:rPr>
        <w:t xml:space="preserve">Наибольшее количество обучающихся, которые, по мнению педагогов, испытывают трудности обучения в связи с наличием проявлений СДВГ, было выявлено среди мальчиков (87%). Данный результат согласуется с распространенными научно-теоретическими представлениями о том, что синдром дефицита внимания и гиперактивности чаще встречается среди мальчиков [4,16, 21] </w:t>
      </w:r>
    </w:p>
    <w:p>
      <w:pPr>
        <w:pStyle w:val="Normal"/>
        <w:shd w:fill="FFFFFF" w:val="clear"/>
        <w:spacing w:lineRule="auto" w:line="360"/>
        <w:ind w:firstLine="567"/>
        <w:jc w:val="both"/>
        <w:textAlignment w:val="top"/>
        <w:rPr>
          <w:sz w:val="24"/>
          <w:szCs w:val="24"/>
          <w:lang w:val="en-US"/>
        </w:rPr>
      </w:pPr>
      <w:r>
        <w:rPr>
          <w:sz w:val="24"/>
          <w:szCs w:val="24"/>
        </w:rPr>
        <w:t>Также наибольшее количество таких обучающихся было выявлено в начальной школе (72%). Это также согласуется с научно-теоретическими представлениями о том, что первый всплеск проявления синдрома СДВГ отмечается в 5–10 лет, что обусловлено динамикой развития высшей нервной деятельности. Возраст 5,5–7 и 9–10 лет — критические периоды для формирования систем мозга, отвечающих за мыслительную деятельность, внимание, память. Построение Модели ориентировано на выделение четырех возрастных периодов для создания специальных условий организации и осуществления образовательного процесса для преодоления СДВГ у обучающихся: 1 класс, 2-3 класс, 4-5 класс, 6-7 классы. [8,18</w:t>
      </w:r>
      <w:r>
        <w:rPr>
          <w:sz w:val="24"/>
          <w:szCs w:val="24"/>
          <w:lang w:val="en-US"/>
        </w:rPr>
        <w:t>]</w:t>
      </w:r>
    </w:p>
    <w:p>
      <w:pPr>
        <w:pStyle w:val="Normal"/>
        <w:spacing w:lineRule="auto" w:line="360"/>
        <w:ind w:firstLine="567"/>
        <w:jc w:val="both"/>
        <w:rPr/>
      </w:pPr>
      <w:r>
        <w:rPr>
          <w:sz w:val="24"/>
          <w:szCs w:val="24"/>
          <w:lang w:val="en-US"/>
        </w:rPr>
        <w:t xml:space="preserve">В ходе анализа результатов заполнения педагогами анкеты </w:t>
      </w:r>
      <w:r>
        <w:rPr>
          <w:sz w:val="24"/>
          <w:szCs w:val="24"/>
        </w:rPr>
        <w:t>«</w:t>
      </w:r>
      <w:r>
        <w:rPr>
          <w:sz w:val="24"/>
          <w:szCs w:val="24"/>
          <w:lang w:val="en-US"/>
        </w:rPr>
        <w:t>Невнимательность-импульсивность</w:t>
      </w:r>
      <w:r>
        <w:rPr>
          <w:sz w:val="24"/>
          <w:szCs w:val="24"/>
        </w:rPr>
        <w:t xml:space="preserve">» </w:t>
      </w:r>
      <w:r>
        <w:rPr>
          <w:sz w:val="24"/>
          <w:szCs w:val="24"/>
          <w:lang w:val="en-US"/>
        </w:rPr>
        <w:t xml:space="preserve">определено, что: </w:t>
      </w:r>
    </w:p>
    <w:p>
      <w:pPr>
        <w:pStyle w:val="Normal"/>
        <w:tabs>
          <w:tab w:val="clear" w:pos="708"/>
          <w:tab w:val="left" w:pos="567" w:leader="none"/>
          <w:tab w:val="left" w:pos="993" w:leader="none"/>
        </w:tabs>
        <w:spacing w:lineRule="auto" w:line="360"/>
        <w:ind w:firstLine="567"/>
        <w:jc w:val="both"/>
        <w:rPr>
          <w:sz w:val="24"/>
          <w:szCs w:val="24"/>
          <w:lang w:val="en-US"/>
        </w:rPr>
      </w:pPr>
      <w:r>
        <w:rPr>
          <w:sz w:val="24"/>
          <w:szCs w:val="24"/>
          <w:lang w:val="en-US"/>
        </w:rPr>
        <w:t xml:space="preserve">Количество учащихся, у которых оба показателя СДВГ «невнимательность» и «импульсивность» выражены в максимальной степени, составляет 14,6% от всех участников исследования. Наибольшая выраженность симптомов невнимательности и импульсивности выявлена у учащихся 1-х классов. </w:t>
      </w:r>
    </w:p>
    <w:p>
      <w:pPr>
        <w:pStyle w:val="Normal"/>
        <w:tabs>
          <w:tab w:val="clear" w:pos="708"/>
          <w:tab w:val="left" w:pos="1080" w:leader="none"/>
        </w:tabs>
        <w:spacing w:lineRule="auto" w:line="360"/>
        <w:ind w:firstLine="567"/>
        <w:jc w:val="both"/>
        <w:rPr>
          <w:rFonts w:eastAsia="Calibri"/>
          <w:sz w:val="24"/>
          <w:szCs w:val="24"/>
          <w:lang w:eastAsia="en-US"/>
        </w:rPr>
      </w:pPr>
      <w:r>
        <w:rPr>
          <w:rFonts w:eastAsia="Calibri"/>
          <w:sz w:val="24"/>
          <w:szCs w:val="24"/>
          <w:lang w:eastAsia="en-US"/>
        </w:rPr>
        <w:t>Анализ выраженности показателей карты наблюдений Стотта показал, что все участники исследования (учащиеся 1-7-х классов, выделенные педагогами как испытывающие трудности в образовательном процессе по причине СДВГ) отличаются нетерпеливостью, неспособностью к работе, требующей усидчивости, концентрации внимания и размышления, избеганием долговременных усилий («неугомонность»). Они также склонны к проявлению апатии, пониженного настроения и «нейрофизиологической истощаемости» («ослабленность»). При этом, по наблюдениям педагогов, с возрастом выраженность данных качеств у учащихся снижается, что может служить основой для разработки технологий оказания помощи обучающимся с СДВГ в образовательном процессе.</w:t>
      </w:r>
    </w:p>
    <w:p>
      <w:pPr>
        <w:pStyle w:val="Normal"/>
        <w:spacing w:lineRule="auto" w:line="360"/>
        <w:ind w:firstLine="567"/>
        <w:jc w:val="both"/>
        <w:rPr>
          <w:rFonts w:eastAsia="Calibri"/>
          <w:sz w:val="24"/>
          <w:szCs w:val="24"/>
          <w:lang w:eastAsia="en-US"/>
        </w:rPr>
      </w:pPr>
      <w:r>
        <w:rPr>
          <w:rFonts w:eastAsia="Calibri"/>
          <w:sz w:val="24"/>
          <w:szCs w:val="24"/>
          <w:lang w:eastAsia="en-US"/>
        </w:rPr>
        <w:t xml:space="preserve">Все респонденты характеризуются выраженным уровнем «эмоционального напряжения». При этом было обнаружено значительное усиление проявлений данного качества у учащихся средних классов (4-7-х классов) по сравнению с учащимися младших классов (1-3 классов). В средних классах заметного уровня выраженности достигают «невротические нарушения», не проявляющиеся в более раннем возрасте, что согласуется с данными исследователей. </w:t>
      </w:r>
    </w:p>
    <w:p>
      <w:pPr>
        <w:pStyle w:val="Style26"/>
        <w:shd w:fill="FFFFFF" w:val="clear"/>
        <w:tabs>
          <w:tab w:val="clear" w:pos="708"/>
          <w:tab w:val="left" w:pos="851" w:leader="none"/>
          <w:tab w:val="left" w:pos="993" w:leader="none"/>
          <w:tab w:val="left" w:pos="1560" w:leader="none"/>
        </w:tabs>
        <w:spacing w:lineRule="auto" w:line="360" w:before="0" w:after="0"/>
        <w:ind w:left="0" w:firstLine="567"/>
        <w:contextualSpacing/>
        <w:jc w:val="both"/>
        <w:rPr>
          <w:rFonts w:ascii="Times New Roman" w:hAnsi="Times New Roman" w:cs="Times New Roman"/>
          <w:sz w:val="24"/>
          <w:szCs w:val="24"/>
          <w:highlight w:val="yellow"/>
          <w:lang w:val="en-US"/>
        </w:rPr>
      </w:pPr>
      <w:r>
        <w:rPr>
          <w:rFonts w:cs="Times New Roman" w:ascii="Times New Roman" w:hAnsi="Times New Roman"/>
          <w:sz w:val="24"/>
          <w:szCs w:val="24"/>
        </w:rPr>
        <w:t>Определено, что все респонденты чувствуют себя неуверенно при общении как со взрослыми, так и с детьми, особенно незнакомыми. Они беспокоятся о том, принимают ли их взрослые и сверстники, могут из-за этого их избегать или вести себя враждебно («тревожность по отношению к взрослым», «неприятие взрослых», «тревожность по отношению к детям»). Их тревожность в отношениях с детьми может выражаться в соперничестве и конфликтом поведении («конфликтность с детьми»). При этом с возрастом у учащихся увеличиваются проявления «недоверия к новым людям, вещам и ситуациям», «тревога по отношению к детям» и «конфликтность с детьми». «Тревожность по отношению к взрослым», напротив, уменьшается. Полученные результаты согласуются с результатами исследования Цыганковой Н.И., Виноградовой А.Д. о том, что данные симптомы напрямую связаны с неврологическим статусом данной категории детей.</w:t>
      </w:r>
      <w:r>
        <w:rPr>
          <w:rFonts w:cs="Times New Roman" w:ascii="Times New Roman" w:hAnsi="Times New Roman"/>
          <w:sz w:val="24"/>
          <w:szCs w:val="24"/>
          <w:lang w:val="en-US"/>
        </w:rPr>
        <w:t xml:space="preserve"> [</w:t>
      </w:r>
      <w:r>
        <w:rPr>
          <w:rFonts w:cs="Times New Roman" w:ascii="Times New Roman" w:hAnsi="Times New Roman"/>
          <w:sz w:val="24"/>
          <w:szCs w:val="24"/>
        </w:rPr>
        <w:t>25</w:t>
      </w:r>
      <w:r>
        <w:rPr>
          <w:rFonts w:cs="Times New Roman" w:ascii="Times New Roman" w:hAnsi="Times New Roman"/>
          <w:sz w:val="24"/>
          <w:szCs w:val="24"/>
          <w:lang w:val="en-US"/>
        </w:rPr>
        <w:t>]</w:t>
      </w:r>
    </w:p>
    <w:p>
      <w:pPr>
        <w:pStyle w:val="Normal"/>
        <w:spacing w:lineRule="auto" w:line="360"/>
        <w:ind w:firstLine="567"/>
        <w:jc w:val="both"/>
        <w:rPr>
          <w:sz w:val="24"/>
          <w:szCs w:val="24"/>
          <w:lang w:val="en-US"/>
        </w:rPr>
      </w:pPr>
      <w:r>
        <w:rPr>
          <w:sz w:val="24"/>
          <w:szCs w:val="24"/>
          <w:lang w:val="en-US"/>
        </w:rPr>
        <w:t xml:space="preserve">Корреляционный анализ показателей обоих методик обнаружил наиболее сильные прямые взаимосвязи показателя «импульсивность» с показателем «тревога по отношению к детям» (0,52) и «тревога по отношению к взрослым» (0,52), а также у интегрального показателя «невнимательность-импульсивность» с вышеназванными показателями (0,37 и 0,39 соответственно). Это означает, что чем более неуверенно и беспокойно чувствует себя учащийся при общении со взрослыми и детьми, тем в большей степени он проявляет симптомы импульсивности (склонность действовать бесконтрольно, под влиянием внешних обстоятельств, в силу эмоциональных переживаний) и невнимательности (отвлекаемости, рассеянности, забывчивости). </w:t>
      </w:r>
    </w:p>
    <w:p>
      <w:pPr>
        <w:pStyle w:val="Normal"/>
        <w:spacing w:lineRule="auto" w:line="360"/>
        <w:ind w:firstLine="567"/>
        <w:jc w:val="both"/>
        <w:rPr/>
      </w:pPr>
      <w:r>
        <w:rPr>
          <w:sz w:val="24"/>
          <w:szCs w:val="24"/>
        </w:rPr>
        <w:t>О</w:t>
      </w:r>
      <w:r>
        <w:rPr>
          <w:sz w:val="24"/>
          <w:szCs w:val="24"/>
          <w:lang w:val="en-US"/>
        </w:rPr>
        <w:t>дним из важных направлений</w:t>
      </w:r>
      <w:r>
        <w:rPr>
          <w:sz w:val="24"/>
          <w:szCs w:val="24"/>
        </w:rPr>
        <w:t xml:space="preserve"> деятельности</w:t>
      </w:r>
      <w:r>
        <w:rPr>
          <w:sz w:val="24"/>
          <w:szCs w:val="24"/>
          <w:lang w:val="en-US"/>
        </w:rPr>
        <w:t xml:space="preserve"> в процессе повышения квалификации педагогов для успешного взаимодействия с детьми, демонстрирующими признаки СДВГ, выступает обучение их способам педагогического направленного наблюдения. Это позволит учителям, оставаясь в границах базовых педагогических компетенций, отмечать особенности поведения и развития ребенка с СДВГ, избегать ошибочного приписывания данного синдрома импульсивным, одаренным, тревожным детям, у которых могут наблюдаться отдельные схожие признаки (несдержанность, суетливость, невнимательность и др.).</w:t>
      </w:r>
    </w:p>
    <w:p>
      <w:pPr>
        <w:pStyle w:val="Normal"/>
        <w:spacing w:lineRule="auto" w:line="360"/>
        <w:ind w:firstLine="567"/>
        <w:jc w:val="both"/>
        <w:rPr/>
      </w:pPr>
      <w:r>
        <w:rPr>
          <w:rFonts w:eastAsia="Calibri"/>
          <w:sz w:val="24"/>
          <w:szCs w:val="24"/>
          <w:lang w:eastAsia="en-US"/>
        </w:rPr>
        <w:t>Результаты данного исследования, проведенного педагогами в ходе апробации комплексной модели совершенствования условий образовательного процесса для обучающихся с СДВГ, подтвердили теоретические положения о том, что наибольшее количество обучающихся, которые, по мнению педагогов, испытывают трудности обучения в связи с СДВГ — это мальчики. Это актуализирует необходимость обучения учителей дифференцированным способам педагогического взаимодействия с мальчиками и девочками, в том числе, в связи с увеличением доли детей-инофонов в современной школе, которые демонстрируют в своем поведении также культурологические гендерные особенности.</w:t>
      </w:r>
    </w:p>
    <w:p>
      <w:pPr>
        <w:pStyle w:val="Normal"/>
        <w:tabs>
          <w:tab w:val="clear" w:pos="708"/>
          <w:tab w:val="left" w:pos="567" w:leader="none"/>
          <w:tab w:val="left" w:pos="993" w:leader="none"/>
        </w:tabs>
        <w:spacing w:lineRule="auto" w:line="360"/>
        <w:ind w:firstLine="567"/>
        <w:jc w:val="both"/>
        <w:rPr/>
      </w:pPr>
      <w:r>
        <w:rPr>
          <w:sz w:val="24"/>
          <w:szCs w:val="24"/>
        </w:rPr>
        <w:t>В связи с тем, что н</w:t>
      </w:r>
      <w:r>
        <w:rPr>
          <w:sz w:val="24"/>
          <w:szCs w:val="24"/>
          <w:lang w:val="en-US"/>
        </w:rPr>
        <w:t>аибольшая выраженность симптомов невнимательности и импульсивности выявлена у учащихся 1-х классов</w:t>
      </w:r>
      <w:r>
        <w:rPr>
          <w:sz w:val="24"/>
          <w:szCs w:val="24"/>
        </w:rPr>
        <w:t>, возрастает значение раннего выявления детей, демонстрирующих признаки СДВГ, для своевременного оказания им психолого-педагогической поддержки и предупреждения школьной дезадаптации уже в старшем дошкольном возрасте.</w:t>
      </w:r>
    </w:p>
    <w:p>
      <w:pPr>
        <w:pStyle w:val="Normal"/>
        <w:tabs>
          <w:tab w:val="clear" w:pos="708"/>
          <w:tab w:val="left" w:pos="567" w:leader="none"/>
          <w:tab w:val="left" w:pos="993" w:leader="none"/>
        </w:tabs>
        <w:spacing w:lineRule="auto" w:line="360"/>
        <w:ind w:firstLine="567"/>
        <w:jc w:val="both"/>
        <w:rPr/>
      </w:pPr>
      <w:r>
        <w:rPr>
          <w:sz w:val="24"/>
          <w:szCs w:val="24"/>
        </w:rPr>
        <w:t>Исследование показало</w:t>
      </w:r>
      <w:r>
        <w:rPr>
          <w:sz w:val="24"/>
          <w:szCs w:val="24"/>
          <w:lang w:val="en-US"/>
        </w:rPr>
        <w:t xml:space="preserve"> значительное усиление проявлений </w:t>
      </w:r>
      <w:r>
        <w:rPr>
          <w:sz w:val="24"/>
          <w:szCs w:val="24"/>
        </w:rPr>
        <w:t>эмоционального напряжения</w:t>
      </w:r>
      <w:r>
        <w:rPr>
          <w:sz w:val="24"/>
          <w:szCs w:val="24"/>
          <w:lang w:val="en-US"/>
        </w:rPr>
        <w:t xml:space="preserve"> у учащихся средних классов (4-7-х классов) по сравнению с учащимися младших классов (1-3 классов)</w:t>
      </w:r>
      <w:r>
        <w:rPr>
          <w:sz w:val="24"/>
          <w:szCs w:val="24"/>
        </w:rPr>
        <w:t xml:space="preserve">, что может рассматриваться, в том числе, как следствие недостаточной подготовленности учителей к проведению работы по ранней педагогической диагностике для выявления детей с признаками СДВГ, актуализирует необходимость создания и реализации системы обучения и повышения квалификаци для преодоления данных педагогических дефицитов. </w:t>
      </w:r>
    </w:p>
    <w:p>
      <w:pPr>
        <w:pStyle w:val="Normal"/>
        <w:tabs>
          <w:tab w:val="clear" w:pos="708"/>
          <w:tab w:val="left" w:pos="567" w:leader="none"/>
          <w:tab w:val="left" w:pos="993" w:leader="none"/>
        </w:tabs>
        <w:spacing w:lineRule="auto" w:line="360"/>
        <w:ind w:firstLine="567"/>
        <w:jc w:val="both"/>
        <w:rPr/>
      </w:pPr>
      <w:r>
        <w:rPr>
          <w:sz w:val="24"/>
          <w:szCs w:val="24"/>
        </w:rPr>
        <w:t xml:space="preserve">В связи с тем, что были выявлены неуверенность детей с признаками СДВГ </w:t>
      </w:r>
      <w:r>
        <w:rPr>
          <w:sz w:val="24"/>
          <w:szCs w:val="24"/>
          <w:lang w:val="en-US"/>
        </w:rPr>
        <w:t xml:space="preserve">при общении как со взрослыми, так и с детьми, </w:t>
      </w:r>
      <w:r>
        <w:rPr>
          <w:sz w:val="24"/>
          <w:szCs w:val="24"/>
        </w:rPr>
        <w:t>их</w:t>
      </w:r>
      <w:r>
        <w:rPr>
          <w:sz w:val="24"/>
          <w:szCs w:val="24"/>
          <w:lang w:val="en-US"/>
        </w:rPr>
        <w:t xml:space="preserve"> беспоко</w:t>
      </w:r>
      <w:r>
        <w:rPr>
          <w:sz w:val="24"/>
          <w:szCs w:val="24"/>
        </w:rPr>
        <w:t>йство</w:t>
      </w:r>
      <w:r>
        <w:rPr>
          <w:sz w:val="24"/>
          <w:szCs w:val="24"/>
          <w:lang w:val="en-US"/>
        </w:rPr>
        <w:t xml:space="preserve"> о том, принимают ли их взрослые и сверстники, </w:t>
      </w:r>
      <w:r>
        <w:rPr>
          <w:sz w:val="24"/>
          <w:szCs w:val="24"/>
        </w:rPr>
        <w:t>как факторы их</w:t>
      </w:r>
      <w:r>
        <w:rPr>
          <w:sz w:val="24"/>
          <w:szCs w:val="24"/>
          <w:lang w:val="en-US"/>
        </w:rPr>
        <w:t xml:space="preserve"> </w:t>
      </w:r>
      <w:r>
        <w:rPr>
          <w:sz w:val="24"/>
          <w:szCs w:val="24"/>
        </w:rPr>
        <w:t>возможного</w:t>
      </w:r>
      <w:r>
        <w:rPr>
          <w:sz w:val="24"/>
          <w:szCs w:val="24"/>
          <w:lang w:val="en-US"/>
        </w:rPr>
        <w:t xml:space="preserve"> избега</w:t>
      </w:r>
      <w:r>
        <w:rPr>
          <w:sz w:val="24"/>
          <w:szCs w:val="24"/>
        </w:rPr>
        <w:t>ния,</w:t>
      </w:r>
      <w:r>
        <w:rPr>
          <w:sz w:val="24"/>
          <w:szCs w:val="24"/>
          <w:lang w:val="en-US"/>
        </w:rPr>
        <w:t xml:space="preserve"> враждебно</w:t>
      </w:r>
      <w:r>
        <w:rPr>
          <w:sz w:val="24"/>
          <w:szCs w:val="24"/>
        </w:rPr>
        <w:t>го и конфликтного поведения,</w:t>
      </w:r>
      <w:r>
        <w:rPr>
          <w:sz w:val="24"/>
          <w:szCs w:val="24"/>
          <w:lang w:val="en-US"/>
        </w:rPr>
        <w:t xml:space="preserve"> </w:t>
      </w:r>
      <w:r>
        <w:rPr>
          <w:sz w:val="24"/>
          <w:szCs w:val="24"/>
        </w:rPr>
        <w:t xml:space="preserve">возрастает актуальность развития у учителей эмоционального интеллекта и эмпатии, навыков рефлексивного самоанализа своего профессионального поведения для успешности педагогического взаимодействия с данной группой детей. </w:t>
      </w:r>
    </w:p>
    <w:p>
      <w:pPr>
        <w:pStyle w:val="Normal"/>
        <w:spacing w:lineRule="auto" w:line="360"/>
        <w:ind w:firstLine="567"/>
        <w:jc w:val="both"/>
        <w:rPr>
          <w:sz w:val="24"/>
          <w:szCs w:val="24"/>
          <w:lang w:val="en-US"/>
        </w:rPr>
      </w:pPr>
      <w:r>
        <w:rPr>
          <w:sz w:val="24"/>
          <w:szCs w:val="24"/>
        </w:rPr>
        <w:t xml:space="preserve">Выявление прямой зависимости между повышением ощущения </w:t>
      </w:r>
      <w:r>
        <w:rPr>
          <w:sz w:val="24"/>
          <w:szCs w:val="24"/>
          <w:lang w:val="en-US"/>
        </w:rPr>
        <w:t>неуверенно</w:t>
      </w:r>
      <w:r>
        <w:rPr>
          <w:sz w:val="24"/>
          <w:szCs w:val="24"/>
        </w:rPr>
        <w:t>сти</w:t>
      </w:r>
      <w:r>
        <w:rPr>
          <w:sz w:val="24"/>
          <w:szCs w:val="24"/>
          <w:lang w:val="en-US"/>
        </w:rPr>
        <w:t xml:space="preserve"> и беспокой</w:t>
      </w:r>
      <w:r>
        <w:rPr>
          <w:sz w:val="24"/>
          <w:szCs w:val="24"/>
        </w:rPr>
        <w:t>ства</w:t>
      </w:r>
      <w:r>
        <w:rPr>
          <w:sz w:val="24"/>
          <w:szCs w:val="24"/>
          <w:lang w:val="en-US"/>
        </w:rPr>
        <w:t xml:space="preserve"> учащи</w:t>
      </w:r>
      <w:r>
        <w:rPr>
          <w:sz w:val="24"/>
          <w:szCs w:val="24"/>
        </w:rPr>
        <w:t>хся с признаками СДВГ</w:t>
      </w:r>
      <w:r>
        <w:rPr>
          <w:sz w:val="24"/>
          <w:szCs w:val="24"/>
          <w:lang w:val="en-US"/>
        </w:rPr>
        <w:t xml:space="preserve"> при общении со взрослыми и детьми, </w:t>
      </w:r>
      <w:r>
        <w:rPr>
          <w:sz w:val="24"/>
          <w:szCs w:val="24"/>
        </w:rPr>
        <w:t xml:space="preserve">и учащением </w:t>
      </w:r>
      <w:r>
        <w:rPr>
          <w:sz w:val="24"/>
          <w:szCs w:val="24"/>
          <w:lang w:val="en-US"/>
        </w:rPr>
        <w:t>проявл</w:t>
      </w:r>
      <w:r>
        <w:rPr>
          <w:sz w:val="24"/>
          <w:szCs w:val="24"/>
        </w:rPr>
        <w:t>ений</w:t>
      </w:r>
      <w:r>
        <w:rPr>
          <w:sz w:val="24"/>
          <w:szCs w:val="24"/>
          <w:lang w:val="en-US"/>
        </w:rPr>
        <w:t xml:space="preserve"> симптом</w:t>
      </w:r>
      <w:r>
        <w:rPr>
          <w:sz w:val="24"/>
          <w:szCs w:val="24"/>
        </w:rPr>
        <w:t>ов</w:t>
      </w:r>
      <w:r>
        <w:rPr>
          <w:sz w:val="24"/>
          <w:szCs w:val="24"/>
          <w:lang w:val="en-US"/>
        </w:rPr>
        <w:t xml:space="preserve"> импульсивности и невнимательности</w:t>
      </w:r>
      <w:r>
        <w:rPr>
          <w:sz w:val="24"/>
          <w:szCs w:val="24"/>
        </w:rPr>
        <w:t>,</w:t>
      </w:r>
      <w:r>
        <w:rPr>
          <w:sz w:val="24"/>
          <w:szCs w:val="24"/>
          <w:lang w:val="en-US"/>
        </w:rPr>
        <w:t xml:space="preserve"> </w:t>
      </w:r>
      <w:r>
        <w:rPr>
          <w:sz w:val="24"/>
          <w:szCs w:val="24"/>
        </w:rPr>
        <w:t>позволяет</w:t>
      </w:r>
      <w:r>
        <w:rPr>
          <w:sz w:val="24"/>
          <w:szCs w:val="24"/>
          <w:lang w:val="en-US"/>
        </w:rPr>
        <w:t xml:space="preserve"> сделать вывод</w:t>
      </w:r>
      <w:r>
        <w:rPr>
          <w:sz w:val="24"/>
          <w:szCs w:val="24"/>
        </w:rPr>
        <w:t xml:space="preserve"> о том,</w:t>
      </w:r>
      <w:r>
        <w:rPr>
          <w:sz w:val="24"/>
          <w:szCs w:val="24"/>
          <w:lang w:val="en-US"/>
        </w:rPr>
        <w:t xml:space="preserve"> что повышение уверенности в себе, снижение чувства беспокойства, создание безопасных условий обучения будет способствовать уменьшению проявлений симптомов импульсивности и невнимательности у респондентов.</w:t>
      </w:r>
    </w:p>
    <w:p>
      <w:pPr>
        <w:pStyle w:val="Normal"/>
        <w:tabs>
          <w:tab w:val="clear" w:pos="708"/>
          <w:tab w:val="left" w:pos="720" w:leader="none"/>
        </w:tabs>
        <w:spacing w:lineRule="auto" w:line="357"/>
        <w:ind w:right="76" w:firstLine="540"/>
        <w:jc w:val="both"/>
        <w:rPr>
          <w:sz w:val="24"/>
        </w:rPr>
      </w:pPr>
      <w:r>
        <w:rPr>
          <w:sz w:val="24"/>
        </w:rPr>
        <w:t xml:space="preserve">Создание психологически безопасных условий образовательного процесса, педагогическая поддержка, адекватные требования, отсутствие негативных, унижающих достоинство ребенка оценок, учет психофизиологических особенностей, индивидуального темпа деятельности будут также в значительной степени способствовать преодолению таких первичных симптомов СДВГ, как зависимость работоспособности от внешней обстановки, снижение качества и скорости когнитивных процессов при эмоциональной активации, утомляемость, низкая работоспособность, обеспечивать создание условий для снижения уровня тревожности, формирование мотивации достижения успеха, повышения уверенности в себе. </w:t>
      </w:r>
    </w:p>
    <w:p>
      <w:pPr>
        <w:pStyle w:val="Normal"/>
        <w:tabs>
          <w:tab w:val="clear" w:pos="708"/>
          <w:tab w:val="left" w:pos="900" w:leader="none"/>
        </w:tabs>
        <w:spacing w:lineRule="auto" w:line="360"/>
        <w:ind w:right="76" w:firstLine="540"/>
        <w:jc w:val="both"/>
        <w:rPr/>
      </w:pPr>
      <w:r>
        <w:rPr>
          <w:sz w:val="24"/>
        </w:rPr>
        <w:t>Педагогу в рамках создания психологически безопасных условий образовательного процесса</w:t>
      </w:r>
      <w:r>
        <w:rPr>
          <w:sz w:val="24"/>
          <w:szCs w:val="24"/>
        </w:rPr>
        <w:t xml:space="preserve"> для детей с СДВГ целесообразно опираться на следующие принципы:</w:t>
      </w:r>
    </w:p>
    <w:p>
      <w:pPr>
        <w:pStyle w:val="Normal"/>
        <w:tabs>
          <w:tab w:val="clear" w:pos="708"/>
          <w:tab w:val="left" w:pos="900" w:leader="none"/>
        </w:tabs>
        <w:spacing w:lineRule="auto" w:line="360"/>
        <w:ind w:right="76" w:firstLine="540"/>
        <w:jc w:val="both"/>
        <w:rPr>
          <w:sz w:val="24"/>
          <w:szCs w:val="24"/>
        </w:rPr>
      </w:pPr>
      <w:r>
        <w:rPr>
          <w:sz w:val="24"/>
          <w:szCs w:val="24"/>
        </w:rPr>
        <w:t>принцип создания благоприятного социально-психологического климата в учебной группе;</w:t>
      </w:r>
    </w:p>
    <w:p>
      <w:pPr>
        <w:pStyle w:val="Normal"/>
        <w:tabs>
          <w:tab w:val="clear" w:pos="708"/>
          <w:tab w:val="left" w:pos="900" w:leader="none"/>
        </w:tabs>
        <w:spacing w:lineRule="auto" w:line="360"/>
        <w:ind w:right="76" w:firstLine="540"/>
        <w:jc w:val="both"/>
        <w:rPr>
          <w:sz w:val="24"/>
          <w:szCs w:val="24"/>
        </w:rPr>
      </w:pPr>
      <w:r>
        <w:rPr>
          <w:sz w:val="24"/>
          <w:szCs w:val="24"/>
        </w:rPr>
        <w:t xml:space="preserve">принцип междисциплинарного подхода - в </w:t>
      </w:r>
      <w:r>
        <w:rPr>
          <w:color w:val="0D0D0D"/>
          <w:sz w:val="24"/>
          <w:szCs w:val="24"/>
        </w:rPr>
        <w:t>создании условий для развития</w:t>
      </w:r>
      <w:r>
        <w:rPr>
          <w:sz w:val="24"/>
          <w:szCs w:val="24"/>
        </w:rPr>
        <w:t xml:space="preserve"> </w:t>
      </w:r>
      <w:r>
        <w:rPr>
          <w:color w:val="0D0D0D"/>
          <w:sz w:val="24"/>
          <w:szCs w:val="24"/>
        </w:rPr>
        <w:t>дефицитарных функций принимают участие педагоги-психологи, учителя-логопеды, учителя-дефектологи, врачи-неврологи, врачи-психиатры;</w:t>
      </w:r>
    </w:p>
    <w:p>
      <w:pPr>
        <w:pStyle w:val="Normal"/>
        <w:tabs>
          <w:tab w:val="clear" w:pos="708"/>
          <w:tab w:val="left" w:pos="900" w:leader="none"/>
        </w:tabs>
        <w:spacing w:lineRule="auto" w:line="360"/>
        <w:ind w:right="76" w:firstLine="540"/>
        <w:jc w:val="both"/>
        <w:rPr>
          <w:sz w:val="24"/>
          <w:szCs w:val="24"/>
        </w:rPr>
      </w:pPr>
      <w:r>
        <w:rPr>
          <w:sz w:val="24"/>
          <w:szCs w:val="24"/>
        </w:rPr>
        <w:t>принцип многообразия подходов и методов: индивидуальных, групповых, развивающих, коррекционных, игровых, здоровьесберегающих;</w:t>
      </w:r>
    </w:p>
    <w:p>
      <w:pPr>
        <w:pStyle w:val="Normal"/>
        <w:tabs>
          <w:tab w:val="clear" w:pos="708"/>
          <w:tab w:val="left" w:pos="900" w:leader="none"/>
        </w:tabs>
        <w:spacing w:lineRule="auto" w:line="360"/>
        <w:ind w:right="76" w:firstLine="540"/>
        <w:jc w:val="both"/>
        <w:rPr>
          <w:sz w:val="24"/>
          <w:szCs w:val="24"/>
        </w:rPr>
      </w:pPr>
      <w:r>
        <w:rPr>
          <w:sz w:val="24"/>
          <w:szCs w:val="24"/>
        </w:rPr>
        <w:t xml:space="preserve">принцип интегративного подхода – разнонаправленность применяемых дифференцированных заданий и упражнений; </w:t>
      </w:r>
    </w:p>
    <w:p>
      <w:pPr>
        <w:pStyle w:val="Normal"/>
        <w:tabs>
          <w:tab w:val="clear" w:pos="708"/>
          <w:tab w:val="left" w:pos="900" w:leader="none"/>
        </w:tabs>
        <w:spacing w:lineRule="auto" w:line="360"/>
        <w:ind w:right="76" w:firstLine="540"/>
        <w:jc w:val="both"/>
        <w:rPr>
          <w:sz w:val="24"/>
          <w:szCs w:val="24"/>
        </w:rPr>
      </w:pPr>
      <w:r>
        <w:rPr>
          <w:sz w:val="24"/>
          <w:szCs w:val="24"/>
        </w:rPr>
        <w:t>принцип возрастной адекватности – соответствие возрастным особенностям обучающихся с СДВГ;</w:t>
      </w:r>
    </w:p>
    <w:p>
      <w:pPr>
        <w:pStyle w:val="Normal"/>
        <w:tabs>
          <w:tab w:val="clear" w:pos="708"/>
          <w:tab w:val="left" w:pos="900" w:leader="none"/>
        </w:tabs>
        <w:spacing w:lineRule="auto" w:line="360"/>
        <w:ind w:right="76" w:firstLine="540"/>
        <w:jc w:val="both"/>
        <w:rPr>
          <w:sz w:val="24"/>
          <w:szCs w:val="24"/>
        </w:rPr>
      </w:pPr>
      <w:r>
        <w:rPr>
          <w:sz w:val="24"/>
          <w:szCs w:val="24"/>
        </w:rPr>
        <w:t>принцип коррекции «сверху вниз» (Л.С. Выготский). Ориентация на зону «ближайшего развития».</w:t>
      </w:r>
    </w:p>
    <w:p>
      <w:pPr>
        <w:pStyle w:val="Normal"/>
        <w:tabs>
          <w:tab w:val="clear" w:pos="708"/>
          <w:tab w:val="left" w:pos="900" w:leader="none"/>
        </w:tabs>
        <w:spacing w:lineRule="auto" w:line="360"/>
        <w:ind w:right="76" w:firstLine="540"/>
        <w:jc w:val="both"/>
        <w:rPr>
          <w:sz w:val="24"/>
          <w:szCs w:val="24"/>
        </w:rPr>
      </w:pPr>
      <w:r>
        <w:rPr>
          <w:color w:val="0D0D0D"/>
          <w:sz w:val="24"/>
          <w:szCs w:val="24"/>
        </w:rPr>
        <w:t xml:space="preserve">Для качественного осуществления профессиональной деятельности по </w:t>
      </w:r>
      <w:r>
        <w:rPr>
          <w:sz w:val="24"/>
        </w:rPr>
        <w:t>созданию психологически безопасных условий образовательного процесса</w:t>
      </w:r>
      <w:r>
        <w:rPr>
          <w:sz w:val="24"/>
          <w:szCs w:val="24"/>
        </w:rPr>
        <w:t xml:space="preserve"> для детей с СДВГ</w:t>
      </w:r>
      <w:r>
        <w:rPr>
          <w:color w:val="0D0D0D"/>
          <w:sz w:val="24"/>
          <w:szCs w:val="24"/>
        </w:rPr>
        <w:t xml:space="preserve"> педагог должен обладать следующими компетенциями:</w:t>
      </w:r>
    </w:p>
    <w:p>
      <w:pPr>
        <w:pStyle w:val="Normal"/>
        <w:tabs>
          <w:tab w:val="clear" w:pos="708"/>
          <w:tab w:val="left" w:pos="900" w:leader="none"/>
        </w:tabs>
        <w:spacing w:lineRule="auto" w:line="360"/>
        <w:ind w:right="76" w:firstLine="540"/>
        <w:jc w:val="both"/>
        <w:rPr/>
      </w:pPr>
      <w:r>
        <w:rPr>
          <w:color w:val="0D0D0D"/>
          <w:sz w:val="24"/>
          <w:szCs w:val="24"/>
        </w:rPr>
        <w:t>Предметными – знать современную нормативную правовую базу адресной работы с детьми и родителями обучающихся с особыми образовательными потребностями, с СДВГ; особенности организация образовательного процесса и реализации рабочих программ с участием детей с СДВГ</w:t>
      </w:r>
    </w:p>
    <w:p>
      <w:pPr>
        <w:pStyle w:val="Normal"/>
        <w:tabs>
          <w:tab w:val="clear" w:pos="708"/>
          <w:tab w:val="left" w:pos="900" w:leader="none"/>
        </w:tabs>
        <w:spacing w:lineRule="auto" w:line="360"/>
        <w:ind w:right="76" w:firstLine="540"/>
        <w:jc w:val="both"/>
        <w:rPr/>
      </w:pPr>
      <w:r>
        <w:rPr>
          <w:color w:val="0D0D0D"/>
          <w:sz w:val="24"/>
          <w:szCs w:val="24"/>
        </w:rPr>
        <w:t>Психолого-педагогическими:</w:t>
      </w:r>
    </w:p>
    <w:p>
      <w:pPr>
        <w:pStyle w:val="Normal"/>
        <w:tabs>
          <w:tab w:val="clear" w:pos="708"/>
          <w:tab w:val="left" w:pos="900" w:leader="none"/>
        </w:tabs>
        <w:spacing w:lineRule="auto" w:line="360"/>
        <w:ind w:right="76" w:firstLine="540"/>
        <w:jc w:val="both"/>
        <w:rPr>
          <w:color w:val="0D0D0D"/>
          <w:sz w:val="24"/>
          <w:szCs w:val="24"/>
        </w:rPr>
      </w:pPr>
      <w:r>
        <w:rPr>
          <w:color w:val="0D0D0D"/>
          <w:sz w:val="24"/>
          <w:szCs w:val="24"/>
        </w:rPr>
        <w:t xml:space="preserve"> – </w:t>
      </w:r>
      <w:r>
        <w:rPr>
          <w:color w:val="0D0D0D"/>
          <w:sz w:val="24"/>
          <w:szCs w:val="24"/>
        </w:rPr>
        <w:t>знать основные закономерности возрастного развития, стадии и кризисы развития, особенности социализации личности ребенка с СДВГ;</w:t>
      </w:r>
      <w:r>
        <w:rPr>
          <w:sz w:val="24"/>
          <w:szCs w:val="24"/>
        </w:rPr>
        <w:t xml:space="preserve"> </w:t>
      </w:r>
      <w:r>
        <w:rPr>
          <w:color w:val="0D0D0D"/>
          <w:sz w:val="24"/>
          <w:szCs w:val="24"/>
        </w:rPr>
        <w:t>уметь использовать научные понятия для анализа и принятия решений в профессиональных (образовательных) ситуациях с участием детей с СДВГ, уметь оценивать и проектировать безопасную, развивающую образовательную среду, способствующей развитию способностей, самостоятельности и инициативности детей с СДВГ, создавать условия для эмоционального комфорта, наряду с другими детьми, данной группы учеников.</w:t>
      </w:r>
    </w:p>
    <w:p>
      <w:pPr>
        <w:pStyle w:val="Normal"/>
        <w:tabs>
          <w:tab w:val="clear" w:pos="708"/>
          <w:tab w:val="left" w:pos="900" w:leader="none"/>
        </w:tabs>
        <w:spacing w:lineRule="auto" w:line="360"/>
        <w:ind w:right="76" w:hanging="0"/>
        <w:jc w:val="both"/>
        <w:rPr>
          <w:sz w:val="24"/>
          <w:szCs w:val="24"/>
        </w:rPr>
      </w:pPr>
      <w:r>
        <w:rPr>
          <w:color w:val="0D0D0D"/>
          <w:sz w:val="24"/>
          <w:szCs w:val="24"/>
        </w:rPr>
        <w:t xml:space="preserve">- создавать образовательные ситуации, способствующие вовлеченности детей в образовательный процесс, планирование и формирование метапредметных результатов образования; объективно оценивать знания учеников, используя методы формирующего оценивания; </w:t>
      </w:r>
      <w:r>
        <w:rPr>
          <w:color w:val="000000"/>
          <w:sz w:val="24"/>
          <w:szCs w:val="24"/>
        </w:rPr>
        <w:t xml:space="preserve">эффективно управлять классами, с целью вовлечения учеников в процесс обучения и воспитания, мотивируя их учебно-познавательную деятельность; устанавливать четкие правила поведения в классе в соответствии со школьным уставом и правилами поведения в образовательной </w:t>
      </w:r>
      <w:r>
        <w:rPr>
          <w:sz w:val="24"/>
          <w:szCs w:val="24"/>
        </w:rPr>
        <w:t xml:space="preserve">организации; общаться с детьми, признавая их достоинство, понимая и принимая их; проектировать и создавать ситуации и события, развивающие эмоционально-ценностную сферу ребенка (культуру переживаний и ценностные ориентации ребенка); поддерживать конструктивные воспитательные усилия родителей (лиц, их заменяющих) обучающихся, привлекать семью к решению вопросов воспитания ребенка; защищать достоинство и интересы учащихся, помогать детям, оказавшимся в конфликтной ситуации и/или неблагоприятных условиях; отслеживать динамику развития ребенка; </w:t>
      </w:r>
    </w:p>
    <w:p>
      <w:pPr>
        <w:pStyle w:val="Normal"/>
        <w:tabs>
          <w:tab w:val="clear" w:pos="708"/>
          <w:tab w:val="left" w:pos="900" w:leader="none"/>
        </w:tabs>
        <w:spacing w:lineRule="auto" w:line="360"/>
        <w:ind w:right="76" w:firstLine="540"/>
        <w:jc w:val="both"/>
        <w:rPr/>
      </w:pPr>
      <w:r>
        <w:rPr>
          <w:color w:val="0D0D0D"/>
          <w:sz w:val="24"/>
          <w:szCs w:val="24"/>
        </w:rPr>
        <w:t>Методическими:</w:t>
      </w:r>
    </w:p>
    <w:p>
      <w:pPr>
        <w:pStyle w:val="Normal"/>
        <w:tabs>
          <w:tab w:val="clear" w:pos="708"/>
          <w:tab w:val="left" w:pos="900" w:leader="none"/>
        </w:tabs>
        <w:spacing w:lineRule="auto" w:line="360"/>
        <w:ind w:right="76" w:firstLine="540"/>
        <w:jc w:val="both"/>
        <w:rPr>
          <w:color w:val="0D0D0D"/>
          <w:sz w:val="24"/>
          <w:szCs w:val="24"/>
        </w:rPr>
      </w:pPr>
      <w:r>
        <w:rPr>
          <w:color w:val="0D0D0D"/>
          <w:sz w:val="24"/>
          <w:szCs w:val="24"/>
        </w:rPr>
        <w:t xml:space="preserve"> – </w:t>
      </w:r>
      <w:r>
        <w:rPr>
          <w:color w:val="0D0D0D"/>
          <w:sz w:val="24"/>
          <w:szCs w:val="24"/>
        </w:rPr>
        <w:t>владеть методикой проведения индивидуальной и групповой работы, групповых занятий. Уметь использовать специальные подходы к обучению, для включения в образовательный процесс всех учеников: с «особыми образовательными потребностями» в образовании: одаренных учеников; учеников с СДВГ, учеников с ограниченными возможностями здоровья и т.д.;</w:t>
      </w:r>
    </w:p>
    <w:p>
      <w:pPr>
        <w:pStyle w:val="Normal"/>
        <w:tabs>
          <w:tab w:val="clear" w:pos="708"/>
          <w:tab w:val="left" w:pos="900" w:leader="none"/>
        </w:tabs>
        <w:spacing w:lineRule="auto" w:line="360"/>
        <w:ind w:right="76" w:hanging="0"/>
        <w:jc w:val="both"/>
        <w:rPr/>
      </w:pPr>
      <w:r>
        <w:rPr>
          <w:sz w:val="24"/>
          <w:szCs w:val="24"/>
        </w:rPr>
        <w:t>- постоянно повышать свою квалификацию в сфере обучения, развития и воспитания детей с особыми образовательными потребностями, в том числе, с СДВГ, и проходить обучение по программам повышения квалификации указанной тематики. Педагогам рекомендуется пройти обучение по программе повышения квалификации «Проектирование педагогических условий для преодоления синдрома дефицита внимания и гиперактивности у обучающихся в образовательном процессе», разработанной и апробированной в рамках ОЭР (кафедра педагогики семьи СПб АППО).</w:t>
      </w:r>
    </w:p>
    <w:p>
      <w:pPr>
        <w:pStyle w:val="Normal"/>
        <w:tabs>
          <w:tab w:val="clear" w:pos="708"/>
          <w:tab w:val="left" w:pos="900" w:leader="none"/>
        </w:tabs>
        <w:spacing w:lineRule="auto" w:line="360"/>
        <w:ind w:right="76" w:firstLine="567"/>
        <w:jc w:val="both"/>
        <w:rPr>
          <w:sz w:val="24"/>
          <w:szCs w:val="24"/>
        </w:rPr>
      </w:pPr>
      <w:r>
        <w:rPr>
          <w:sz w:val="24"/>
          <w:szCs w:val="24"/>
        </w:rPr>
        <w:t xml:space="preserve">Коммуникативными: </w:t>
      </w:r>
    </w:p>
    <w:p>
      <w:pPr>
        <w:pStyle w:val="Normal"/>
        <w:tabs>
          <w:tab w:val="clear" w:pos="708"/>
          <w:tab w:val="left" w:pos="900" w:leader="none"/>
        </w:tabs>
        <w:spacing w:lineRule="auto" w:line="360"/>
        <w:ind w:right="76" w:hanging="0"/>
        <w:jc w:val="both"/>
        <w:rPr>
          <w:sz w:val="20"/>
          <w:szCs w:val="20"/>
        </w:rPr>
      </w:pPr>
      <w:r>
        <w:rPr>
          <w:sz w:val="24"/>
          <w:szCs w:val="24"/>
        </w:rPr>
        <w:t xml:space="preserve">владеть способами интерактивного взаимодействия в обучающимися с СДВГ, в т.ч. методами активного слушания, предупреждения конфликтов, конструктивного взаимодействия в случае возникновения конфликтных ситуаций и др.  </w:t>
      </w:r>
    </w:p>
    <w:p>
      <w:pPr>
        <w:pStyle w:val="Normal"/>
        <w:spacing w:lineRule="auto" w:line="360"/>
        <w:ind w:firstLine="540"/>
        <w:jc w:val="both"/>
        <w:rPr>
          <w:sz w:val="24"/>
          <w:szCs w:val="24"/>
        </w:rPr>
      </w:pPr>
      <w:r>
        <w:rPr>
          <w:sz w:val="24"/>
          <w:szCs w:val="24"/>
        </w:rPr>
        <w:t>Повышение предметной, методической, психолого-педагогической, коммуникативной компетентности педагога является одним из необходимых условий образовательного процесса для успешного обучения и воспитания обучающихся с СДВГ.</w:t>
      </w:r>
    </w:p>
    <w:p>
      <w:pPr>
        <w:pStyle w:val="Normal"/>
        <w:tabs>
          <w:tab w:val="clear" w:pos="708"/>
          <w:tab w:val="left" w:pos="900" w:leader="none"/>
        </w:tabs>
        <w:spacing w:lineRule="auto" w:line="360"/>
        <w:ind w:right="76" w:firstLine="540"/>
        <w:jc w:val="both"/>
        <w:rPr>
          <w:sz w:val="24"/>
          <w:szCs w:val="24"/>
        </w:rPr>
      </w:pPr>
      <w:r>
        <w:rPr>
          <w:sz w:val="24"/>
          <w:szCs w:val="24"/>
        </w:rPr>
        <w:t>Обладая перечисленными выше компетенциями, педагог сможет обеспечить создание следующих о</w:t>
      </w:r>
      <w:r>
        <w:rPr>
          <w:bCs/>
          <w:color w:val="0D0D0D"/>
          <w:sz w:val="24"/>
          <w:szCs w:val="24"/>
        </w:rPr>
        <w:t>птимальных организационно-педагогических условий, рекомендуемых для компенсации и коррекции</w:t>
      </w:r>
      <w:r>
        <w:rPr>
          <w:bCs/>
          <w:sz w:val="24"/>
          <w:szCs w:val="24"/>
        </w:rPr>
        <w:t xml:space="preserve"> дефицитарных функций у обучающихся с СДВГ в образовательном процессе:</w:t>
      </w:r>
    </w:p>
    <w:p>
      <w:pPr>
        <w:pStyle w:val="Normal"/>
        <w:tabs>
          <w:tab w:val="clear" w:pos="708"/>
          <w:tab w:val="left" w:pos="900" w:leader="none"/>
        </w:tabs>
        <w:spacing w:lineRule="auto" w:line="360"/>
        <w:ind w:right="76" w:firstLine="540"/>
        <w:jc w:val="both"/>
        <w:rPr>
          <w:sz w:val="24"/>
          <w:szCs w:val="24"/>
        </w:rPr>
      </w:pPr>
      <w:r>
        <w:rPr>
          <w:color w:val="0D0D0D"/>
          <w:sz w:val="24"/>
          <w:szCs w:val="24"/>
        </w:rPr>
        <w:t>обеспечение внутригруппового взаимодействия обучающихся всего класса; копирование правильных действий партнера: приводит к самоконтролю поведения у обучающихся с СДВГ;</w:t>
      </w:r>
    </w:p>
    <w:p>
      <w:pPr>
        <w:pStyle w:val="Normal"/>
        <w:tabs>
          <w:tab w:val="clear" w:pos="708"/>
          <w:tab w:val="left" w:pos="900" w:leader="none"/>
        </w:tabs>
        <w:spacing w:lineRule="auto" w:line="360"/>
        <w:ind w:right="76" w:firstLine="540"/>
        <w:jc w:val="both"/>
        <w:rPr>
          <w:sz w:val="24"/>
          <w:szCs w:val="24"/>
        </w:rPr>
      </w:pPr>
      <w:r>
        <w:rPr>
          <w:color w:val="0D0D0D"/>
          <w:sz w:val="24"/>
          <w:szCs w:val="24"/>
        </w:rPr>
        <w:t>соблюдение правил повторяющихся двигательных упражнений: приводит к формированию динамического стереотипа у обучающихся с СДВГ;</w:t>
      </w:r>
    </w:p>
    <w:p>
      <w:pPr>
        <w:pStyle w:val="Normal"/>
        <w:tabs>
          <w:tab w:val="clear" w:pos="708"/>
          <w:tab w:val="left" w:pos="900" w:leader="none"/>
        </w:tabs>
        <w:spacing w:lineRule="auto" w:line="360"/>
        <w:ind w:right="76" w:firstLine="540"/>
        <w:jc w:val="both"/>
        <w:rPr>
          <w:sz w:val="24"/>
          <w:szCs w:val="24"/>
        </w:rPr>
      </w:pPr>
      <w:r>
        <w:rPr>
          <w:color w:val="0D0D0D"/>
          <w:sz w:val="24"/>
          <w:szCs w:val="24"/>
        </w:rPr>
        <w:t>создание позитивного эмоционального фона, благодаря которому произвольность психических функций у обучающихся с СДВГ формируется эффективнее;</w:t>
      </w:r>
    </w:p>
    <w:p>
      <w:pPr>
        <w:pStyle w:val="Normal"/>
        <w:tabs>
          <w:tab w:val="clear" w:pos="708"/>
          <w:tab w:val="left" w:pos="900" w:leader="none"/>
        </w:tabs>
        <w:spacing w:lineRule="auto" w:line="360"/>
        <w:ind w:right="76" w:firstLine="540"/>
        <w:jc w:val="both"/>
        <w:rPr>
          <w:sz w:val="24"/>
          <w:szCs w:val="24"/>
        </w:rPr>
      </w:pPr>
      <w:r>
        <w:rPr>
          <w:color w:val="0D0D0D"/>
          <w:sz w:val="24"/>
          <w:szCs w:val="24"/>
        </w:rPr>
        <w:t>чередование упражнений на развитие когнитивных функций и формирование поведенческих и личностных качеств. Это позволит избежать усталости и отказа от деятельности обучающихся с СДВГ;</w:t>
      </w:r>
    </w:p>
    <w:p>
      <w:pPr>
        <w:pStyle w:val="Normal"/>
        <w:tabs>
          <w:tab w:val="clear" w:pos="708"/>
          <w:tab w:val="left" w:pos="900" w:leader="none"/>
        </w:tabs>
        <w:spacing w:lineRule="auto" w:line="360"/>
        <w:ind w:right="76" w:firstLine="540"/>
        <w:jc w:val="both"/>
        <w:rPr>
          <w:sz w:val="24"/>
          <w:szCs w:val="24"/>
        </w:rPr>
      </w:pPr>
      <w:r>
        <w:rPr>
          <w:color w:val="0D0D0D"/>
          <w:sz w:val="24"/>
          <w:szCs w:val="24"/>
        </w:rPr>
        <w:t>использование упражнений, направленных на все три (эмоционально-волевой, когнитивный, личностный) предложенных блока развития дефицитарных функций в соответствии с индивидуальным образовательным маршрутом обучающегося с СДВГ;</w:t>
      </w:r>
    </w:p>
    <w:p>
      <w:pPr>
        <w:pStyle w:val="Normal"/>
        <w:tabs>
          <w:tab w:val="clear" w:pos="708"/>
          <w:tab w:val="left" w:pos="900" w:leader="none"/>
        </w:tabs>
        <w:spacing w:lineRule="auto" w:line="360"/>
        <w:ind w:right="76" w:firstLine="540"/>
        <w:jc w:val="both"/>
        <w:rPr>
          <w:sz w:val="24"/>
          <w:szCs w:val="24"/>
        </w:rPr>
      </w:pPr>
      <w:r>
        <w:rPr>
          <w:color w:val="0D0D0D"/>
          <w:sz w:val="24"/>
          <w:szCs w:val="24"/>
        </w:rPr>
        <w:t>упражнения можно использовать на занятии в качестве «минутки отдыха», или на перемене в свободное время;</w:t>
      </w:r>
    </w:p>
    <w:p>
      <w:pPr>
        <w:pStyle w:val="Normal"/>
        <w:tabs>
          <w:tab w:val="clear" w:pos="708"/>
          <w:tab w:val="left" w:pos="900" w:leader="none"/>
        </w:tabs>
        <w:spacing w:lineRule="auto" w:line="360"/>
        <w:ind w:right="76" w:firstLine="540"/>
        <w:jc w:val="both"/>
        <w:rPr>
          <w:sz w:val="24"/>
          <w:szCs w:val="24"/>
        </w:rPr>
      </w:pPr>
      <w:r>
        <w:rPr>
          <w:color w:val="0D0D0D"/>
          <w:sz w:val="24"/>
          <w:szCs w:val="24"/>
        </w:rPr>
        <w:t>упражнения применять регулярно для достижения устойчивого результата;</w:t>
      </w:r>
    </w:p>
    <w:p>
      <w:pPr>
        <w:pStyle w:val="Normal"/>
        <w:tabs>
          <w:tab w:val="clear" w:pos="708"/>
          <w:tab w:val="left" w:pos="900" w:leader="none"/>
          <w:tab w:val="left" w:pos="1062" w:leader="none"/>
        </w:tabs>
        <w:spacing w:lineRule="auto" w:line="360"/>
        <w:ind w:right="76" w:firstLine="540"/>
        <w:jc w:val="both"/>
        <w:rPr>
          <w:color w:val="0D0D0D"/>
          <w:sz w:val="24"/>
          <w:szCs w:val="24"/>
        </w:rPr>
      </w:pPr>
      <w:r>
        <w:rPr>
          <w:color w:val="0D0D0D"/>
          <w:sz w:val="24"/>
          <w:szCs w:val="24"/>
        </w:rPr>
        <w:t>в выходные и праздничные дни рекомендуется повторение упражнений ребенком под руководством родителя, предварительно получившего рекомендации от педагога.</w:t>
      </w:r>
    </w:p>
    <w:p>
      <w:pPr>
        <w:pStyle w:val="Normal"/>
        <w:tabs>
          <w:tab w:val="clear" w:pos="708"/>
          <w:tab w:val="left" w:pos="900" w:leader="none"/>
        </w:tabs>
        <w:spacing w:lineRule="auto" w:line="360"/>
        <w:ind w:firstLine="539"/>
        <w:jc w:val="both"/>
        <w:rPr/>
      </w:pPr>
      <w:r>
        <w:rPr>
          <w:sz w:val="24"/>
          <w:szCs w:val="24"/>
        </w:rPr>
        <w:t>Педагогу в данном направлении работы отводится определяющая роль - он проводит упражнения с обучающимися с СДВГ в урочной, внеурочной, коррекционно-развивающей и досуговой деятельности. При проведении упражнений педагог осуществляет наблюдение за обучающимся на уроке, в общении, в трудовой деятельности, оценивая правильность выполнения упражнений, которую демонстрирует ребенок; проводит обучение родителей по использованию упражнений в системе семейного воспитания. Необходимо обучать родителей взаимодействовать с таким ребенком, информировать их об особенностях и проявлениях симптома и способах его преодоления. Обучение родителей осуществляется в рамках информационно-просветительских и консультационных мероприятий педагога с родителями.</w:t>
      </w:r>
    </w:p>
    <w:p>
      <w:pPr>
        <w:pStyle w:val="ListParagraph"/>
        <w:tabs>
          <w:tab w:val="clear" w:pos="708"/>
          <w:tab w:val="left" w:pos="401" w:leader="none"/>
          <w:tab w:val="left" w:pos="900" w:leader="none"/>
        </w:tabs>
        <w:spacing w:lineRule="auto" w:line="360" w:before="0" w:after="0"/>
        <w:ind w:left="0" w:firstLine="539"/>
        <w:contextualSpacing/>
        <w:jc w:val="both"/>
        <w:rPr/>
      </w:pPr>
      <w:r>
        <w:rPr>
          <w:rFonts w:cs="Times New Roman" w:ascii="Times New Roman" w:hAnsi="Times New Roman"/>
          <w:bCs/>
          <w:sz w:val="24"/>
          <w:szCs w:val="24"/>
        </w:rPr>
        <w:t>Форматы повышения профессиональной компетентности педагогов могут быть различными. Хорошо зарекомендовали себя следующие:</w:t>
      </w:r>
    </w:p>
    <w:p>
      <w:pPr>
        <w:pStyle w:val="ListParagraph"/>
        <w:numPr>
          <w:ilvl w:val="0"/>
          <w:numId w:val="27"/>
        </w:numPr>
        <w:tabs>
          <w:tab w:val="clear" w:pos="708"/>
          <w:tab w:val="left" w:pos="0" w:leader="none"/>
          <w:tab w:val="left" w:pos="401" w:leader="none"/>
          <w:tab w:val="left" w:pos="900" w:leader="none"/>
        </w:tabs>
        <w:spacing w:lineRule="auto" w:line="360" w:before="0" w:after="0"/>
        <w:ind w:left="0" w:firstLine="540"/>
        <w:contextualSpacing/>
        <w:jc w:val="both"/>
        <w:rPr>
          <w:rFonts w:ascii="Times New Roman" w:hAnsi="Times New Roman" w:cs="Times New Roman"/>
          <w:color w:val="000000"/>
          <w:sz w:val="24"/>
          <w:szCs w:val="24"/>
          <w:shd w:fill="FFFFFF" w:val="clear"/>
        </w:rPr>
      </w:pPr>
      <w:r>
        <w:rPr>
          <w:rFonts w:cs="Times New Roman" w:ascii="Times New Roman" w:hAnsi="Times New Roman"/>
          <w:bCs/>
          <w:sz w:val="24"/>
          <w:szCs w:val="24"/>
        </w:rPr>
        <w:t xml:space="preserve">Обучение по программе повышения квалификации педагогов СПб АППО «Проектирование педагогических условий для преодоления синдрома дефицита внимания и гиперактивности у обучающихся в образовательном процессе» </w:t>
      </w:r>
    </w:p>
    <w:p>
      <w:pPr>
        <w:pStyle w:val="ListParagraph"/>
        <w:numPr>
          <w:ilvl w:val="0"/>
          <w:numId w:val="27"/>
        </w:numPr>
        <w:tabs>
          <w:tab w:val="clear" w:pos="708"/>
          <w:tab w:val="left" w:pos="0" w:leader="none"/>
          <w:tab w:val="left" w:pos="401" w:leader="none"/>
          <w:tab w:val="left" w:pos="900" w:leader="none"/>
        </w:tabs>
        <w:spacing w:lineRule="auto" w:line="360" w:before="0" w:after="0"/>
        <w:ind w:left="0" w:firstLine="540"/>
        <w:contextualSpacing/>
        <w:jc w:val="both"/>
        <w:rPr>
          <w:rFonts w:ascii="Times New Roman" w:hAnsi="Times New Roman" w:cs="Times New Roman"/>
          <w:color w:val="000000"/>
          <w:sz w:val="24"/>
          <w:szCs w:val="24"/>
          <w:shd w:fill="FFFFFF" w:val="clear"/>
        </w:rPr>
      </w:pPr>
      <w:r>
        <w:rPr>
          <w:rFonts w:cs="Times New Roman" w:ascii="Times New Roman" w:hAnsi="Times New Roman"/>
          <w:color w:val="000000"/>
          <w:sz w:val="24"/>
          <w:szCs w:val="24"/>
          <w:shd w:fill="FFFFFF" w:val="clear"/>
        </w:rPr>
        <w:t xml:space="preserve">Обучение в рамках работы на круглых столах: «Проблема СДВГ в образовательном процессе: диалог родителей и педагогов», «Комплексная модель совершенствования условий образовательного процесса для организации и осуществления образовательного процесса для преодоления синдрома дефицита внимания и гиперактивности у обучающихся 1-7 классов» «Проблема СДВГ в образовательном процессе: диалог родителей и педагогов» «Комплексная модель совершенствования условий образовательного процесса для организации и осуществления образовательного процесса для преодоления синдрома дефицита внимания и гиперактивности у обучающихся 1-7 классов» </w:t>
      </w:r>
    </w:p>
    <w:p>
      <w:pPr>
        <w:pStyle w:val="Normal"/>
        <w:spacing w:lineRule="auto" w:line="360"/>
        <w:ind w:firstLine="539"/>
        <w:jc w:val="both"/>
        <w:rPr>
          <w:sz w:val="24"/>
          <w:szCs w:val="24"/>
        </w:rPr>
      </w:pPr>
      <w:r>
        <w:rPr>
          <w:shd w:fill="FFFFFF" w:val="clear"/>
        </w:rPr>
        <w:t xml:space="preserve">Научно-практические семинары «Психолого-педагогическое сопровождение обучающихся, относящихся к «группе риска», </w:t>
      </w:r>
      <w:r>
        <w:rPr>
          <w:bCs/>
        </w:rPr>
        <w:t>«С</w:t>
      </w:r>
      <w:r>
        <w:rPr/>
        <w:t>овершенствования условий организации и осуществления образовательного процесса,</w:t>
      </w:r>
      <w:r>
        <w:rPr>
          <w:bCs/>
        </w:rPr>
        <w:t xml:space="preserve"> способствующей </w:t>
      </w:r>
      <w:r>
        <w:rPr/>
        <w:t xml:space="preserve">преодолению СДВГ у обучающихся в деятельности современного педагога», </w:t>
      </w:r>
      <w:r>
        <w:rPr>
          <w:bCs/>
          <w:sz w:val="24"/>
          <w:szCs w:val="24"/>
        </w:rPr>
        <w:t>«Психолого-педагогические технологии формирования саморегуляции у детей с СДВГ в рамках требований ФГОС</w:t>
      </w:r>
      <w:r>
        <w:rPr>
          <w:sz w:val="24"/>
          <w:szCs w:val="24"/>
        </w:rPr>
        <w:t>», «</w:t>
      </w:r>
      <w:r>
        <w:rPr>
          <w:bCs/>
          <w:sz w:val="24"/>
          <w:szCs w:val="24"/>
        </w:rPr>
        <w:t>Применение психолого-педагогических технологий в коррекции школьной дезадаптации»,</w:t>
      </w:r>
      <w:r>
        <w:rPr>
          <w:spacing w:val="4"/>
          <w:sz w:val="24"/>
          <w:szCs w:val="24"/>
        </w:rPr>
        <w:t xml:space="preserve"> «Здоровьесозидающая образовательная среда: теория и практика», «Исполнение комплексной модели по организации образовательного процесса обучающихся с СДВГ в рамках сотрудничества Региональной инновационной площадки ГБУ ДО ЦППМСП Выборгского района с социальными партнерами»,</w:t>
      </w:r>
      <w:r>
        <w:rPr>
          <w:sz w:val="24"/>
        </w:rPr>
        <w:t xml:space="preserve"> «Создание положительной мотивации как средство повышения качества образования»,</w:t>
      </w:r>
      <w:r>
        <w:rPr>
          <w:spacing w:val="4"/>
          <w:sz w:val="24"/>
          <w:szCs w:val="24"/>
        </w:rPr>
        <w:t xml:space="preserve"> «Создание условий организации образовательного процесса, способствующих преодолению у обучающихся с СДВГ дефицитарных функций через индивидуальные формы работы»</w:t>
      </w:r>
    </w:p>
    <w:p>
      <w:pPr>
        <w:pStyle w:val="ListParagraph"/>
        <w:tabs>
          <w:tab w:val="clear" w:pos="708"/>
          <w:tab w:val="left" w:pos="348" w:leader="none"/>
        </w:tabs>
        <w:spacing w:lineRule="auto" w:line="360" w:before="0" w:after="0"/>
        <w:ind w:left="0" w:firstLine="567"/>
        <w:contextualSpacing/>
        <w:jc w:val="both"/>
        <w:rPr>
          <w:rFonts w:ascii="Times New Roman" w:hAnsi="Times New Roman" w:cs="Times New Roman"/>
          <w:bCs/>
          <w:sz w:val="24"/>
          <w:szCs w:val="24"/>
          <w:lang w:val="en-US"/>
        </w:rPr>
      </w:pPr>
      <w:r>
        <w:rPr>
          <w:rFonts w:cs="Times New Roman" w:ascii="Times New Roman" w:hAnsi="Times New Roman"/>
          <w:bCs/>
          <w:sz w:val="24"/>
          <w:szCs w:val="24"/>
        </w:rPr>
        <w:t>С целью регулярной профессиональной и эмоциональной поддержки педагогов, обучающих детей с СДВГ, организована работа балинтовской группы «Перспектива» на базе ГБУ ДО ЦППМСП. Данная форма профессиональной поддержки педагогов оказалась актуальной и востребованной. [19</w:t>
      </w:r>
      <w:r>
        <w:rPr>
          <w:rFonts w:cs="Times New Roman" w:ascii="Times New Roman" w:hAnsi="Times New Roman"/>
          <w:bCs/>
          <w:sz w:val="24"/>
          <w:szCs w:val="24"/>
          <w:lang w:val="en-US"/>
        </w:rPr>
        <w:t>]</w:t>
      </w:r>
    </w:p>
    <w:p>
      <w:pPr>
        <w:pStyle w:val="Normal"/>
        <w:tabs>
          <w:tab w:val="clear" w:pos="708"/>
          <w:tab w:val="left" w:pos="993" w:leader="none"/>
          <w:tab w:val="left" w:pos="1560" w:leader="none"/>
        </w:tabs>
        <w:spacing w:lineRule="auto" w:line="360"/>
        <w:jc w:val="both"/>
        <w:rPr>
          <w:sz w:val="24"/>
          <w:szCs w:val="24"/>
        </w:rPr>
      </w:pPr>
      <w:r>
        <w:rPr>
          <w:sz w:val="24"/>
          <w:szCs w:val="24"/>
        </w:rPr>
        <w:t xml:space="preserve">Ожидаемый результат повышения квалификации – профессиональная готовность педагогов к обеспечению условий образовательного процесса адекватных специфическим потребностям обучающихся с СДВГ в рамках реализации ФГОС НО, ООО. </w:t>
      </w:r>
    </w:p>
    <w:p>
      <w:pPr>
        <w:pStyle w:val="Normal"/>
        <w:tabs>
          <w:tab w:val="clear" w:pos="708"/>
          <w:tab w:val="left" w:pos="993" w:leader="none"/>
          <w:tab w:val="left" w:pos="1560" w:leader="none"/>
        </w:tabs>
        <w:spacing w:lineRule="auto" w:line="360"/>
        <w:ind w:firstLine="540"/>
        <w:jc w:val="both"/>
        <w:rPr/>
      </w:pPr>
      <w:r>
        <w:rPr>
          <w:sz w:val="24"/>
          <w:szCs w:val="24"/>
        </w:rPr>
        <w:t xml:space="preserve">Система методической работы, обеспечивающей сопровождение деятельности педагогов в рамках ОЭР на всех этапах реализации требований ФГОС НО и ООО. Формы организации методической работы в рамках комплексной модели совершенствования условий образовательного процесса для детей с СДВГ реализуются с использованием информационных цифровых ресурсов в формате информационно-методического ресурса «Навигатор для педагогов и родителей детей с СДВГ» на сайте ГБУ ДО ЦППМСП Выборгского района, так в очном формате консультаций специалистов (врач-невролог, психиатр, педагог-психолог). Наряду с этим, с целью методической поддержки педагогов проводятся семинары, посвященные содержанию и ключевым особенностям организации образовательного процесса для детей с СДВГ в соответствии с ФГОС НО и ООО; тренинги с целью выявления и соотнесения собственной профессиональной позиции педагога с целями и задачами обучения и развития детей с СДВГ в рамках ФГОС НО и ООО; супервизорские встречи, заседания методических объединений учителей, воспитателей по проблемам обучения, воспитания и социализации детей с СДВГ в рамках урочной, внеурочной деятельности, дополнительного образования; конференции участников образовательного процесса и социальных партнеров образовательной организации по итогам реализации модели, ее отдельных компонентов, проблемам апробации и внедрения в образовательный процесс; участие педагогов в разработке и апробации оценки эффективности опытно-экспериментальной работы, в проведении мастер-классов, круглых столов, стажерских площадок, «открытых» уроков, внеурочных занятий и мероприятий по отдельным направлениям апробации и внедрения модели. 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психолого-педагогического консилиума (коллегиальная оценка, ведение и контроль случаев разработки и реализации индивидуальных образовательных маршрутов), решения педагогического совета, презентации, приказы, инструкции, рекомендации, резолюции и т. д. </w:t>
      </w:r>
    </w:p>
    <w:p>
      <w:pPr>
        <w:pStyle w:val="Normal"/>
        <w:tabs>
          <w:tab w:val="clear" w:pos="708"/>
          <w:tab w:val="left" w:pos="993" w:leader="none"/>
          <w:tab w:val="left" w:pos="1560" w:leader="none"/>
        </w:tabs>
        <w:spacing w:lineRule="auto" w:line="360"/>
        <w:ind w:firstLine="540"/>
        <w:jc w:val="both"/>
        <w:rPr/>
      </w:pPr>
      <w:r>
        <w:rPr>
          <w:sz w:val="24"/>
          <w:szCs w:val="24"/>
        </w:rPr>
        <w:t>Важным организационным условием эффективности методической работы, обеспечивающей сопровождение деятельности педагогов, является создание информационно-методических ресурсов для реализации образовательного процесса с обучающимися, демонстрирующими СДВГ. Для этого была спроектирована и апробирована информационно-образовательная среда (ИОС) образовательной организации - сетевого партнера ОЭР, которая понимается, как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Такое учебно-методическое и информационное оснащение образовательного процесса обеспечивает возможность реализации индивидуальных образовательных планов для обучающихся с СДВГ. Через взаимодействие в социальных группах и сетях, участие в форумах осуществляется связь учителей, администрации, родителей обучающихся с СДВГ.</w:t>
      </w:r>
    </w:p>
    <w:p>
      <w:pPr>
        <w:pStyle w:val="Normal"/>
        <w:tabs>
          <w:tab w:val="clear" w:pos="708"/>
          <w:tab w:val="left" w:pos="0" w:leader="none"/>
          <w:tab w:val="left" w:pos="993" w:leader="none"/>
          <w:tab w:val="left" w:pos="1560" w:leader="none"/>
        </w:tabs>
        <w:spacing w:lineRule="auto" w:line="360"/>
        <w:ind w:firstLine="540"/>
        <w:jc w:val="both"/>
        <w:rPr/>
      </w:pPr>
      <w:r>
        <w:rPr>
          <w:sz w:val="24"/>
          <w:szCs w:val="24"/>
        </w:rPr>
        <w:t>Интегративный р</w:t>
      </w:r>
      <w:r>
        <w:rPr>
          <w:bCs/>
          <w:sz w:val="24"/>
          <w:szCs w:val="24"/>
        </w:rPr>
        <w:t xml:space="preserve">езультат реализации </w:t>
      </w:r>
      <w:r>
        <w:rPr>
          <w:sz w:val="24"/>
          <w:szCs w:val="24"/>
        </w:rPr>
        <w:t>комплексной системной модели совершенствования условий образовательного процесса для преодоления (развития и коррекции) СДВГ у обучающихся, достигнутый  в процессе ОЭР и, одновременно, проходившего повышения квалификации педагогов</w:t>
      </w:r>
      <w:r>
        <w:rPr>
          <w:bCs/>
          <w:sz w:val="24"/>
          <w:szCs w:val="24"/>
        </w:rPr>
        <w:t>, это</w:t>
      </w:r>
      <w:r>
        <w:rPr>
          <w:b/>
          <w:bCs/>
          <w:sz w:val="24"/>
          <w:szCs w:val="24"/>
        </w:rPr>
        <w:t xml:space="preserve"> </w:t>
      </w:r>
      <w:r>
        <w:rPr>
          <w:bCs/>
          <w:sz w:val="24"/>
          <w:szCs w:val="24"/>
        </w:rPr>
        <w:t xml:space="preserve">обеспечение, в соответствии с Федеральным законом «Об образовании в Российской Федерации», права обучающихся с СДВГ на предоставление </w:t>
      </w:r>
      <w:r>
        <w:rPr>
          <w:sz w:val="24"/>
          <w:szCs w:val="24"/>
        </w:rPr>
        <w:t xml:space="preserve">специфических организационно-педагогических, психолого-педагогических, информационно-методических ресурсов, дидактических, санитарно-гигиенических условий </w:t>
      </w:r>
      <w:r>
        <w:rPr>
          <w:bCs/>
          <w:sz w:val="24"/>
          <w:szCs w:val="24"/>
        </w:rPr>
        <w:t xml:space="preserve"> для обучения с учетом психофизического развития, состояния здоровья и возрастных особенностей обучающихся с СДВГ</w:t>
      </w:r>
      <w:r>
        <w:rPr>
          <w:sz w:val="24"/>
          <w:szCs w:val="24"/>
        </w:rPr>
        <w:t xml:space="preserve">. </w:t>
      </w:r>
    </w:p>
    <w:p>
      <w:pPr>
        <w:pStyle w:val="ListParagraph"/>
        <w:spacing w:lineRule="auto" w:line="360" w:before="0" w:after="0"/>
        <w:ind w:left="0" w:firstLine="540"/>
        <w:contextualSpacing/>
        <w:jc w:val="both"/>
        <w:rPr/>
      </w:pPr>
      <w:r>
        <w:rPr>
          <w:rFonts w:cs="Times New Roman" w:ascii="Times New Roman" w:hAnsi="Times New Roman"/>
          <w:sz w:val="24"/>
          <w:szCs w:val="24"/>
        </w:rPr>
        <w:t xml:space="preserve">Опыт деятельности ГБУ ДО ЦППМСП Выборгского района Санкт-Петербурга по апробации Комплексной системной модели совершенствования условий образовательного процесса для преодоления (развития и коррекции) СДВГ у обучающихся показал, что педагоги, включенные в опытно-экспериментальную работу, стали чувствовать себя более компетентными, успешными, уверенными в профессиональной деятельности, связанной с обучением детей с особыми образовательными потребностями в связи с СДВГ. Принятие (доброжелательность и психологическая готовность к взаимодействию) педагогом обучающегося с СДВГ способствует снижению эмоциональной напряженности образовательного процесса для всех участников, повышению включенности данной категории обучающихся в учебную и внеурочную деятельность, повышению их успеваемости, улучшению взаимодействия с родителями по преодолению симптомов СДВГ в семье и школе. </w:t>
      </w:r>
    </w:p>
    <w:p>
      <w:pPr>
        <w:pStyle w:val="ListParagraph"/>
        <w:spacing w:lineRule="auto" w:line="360" w:before="0" w:after="0"/>
        <w:ind w:left="0" w:firstLine="540"/>
        <w:contextualSpacing/>
        <w:jc w:val="both"/>
        <w:rPr>
          <w:rFonts w:ascii="Times New Roman" w:hAnsi="Times New Roman" w:cs="Times New Roman"/>
          <w:sz w:val="24"/>
        </w:rPr>
      </w:pPr>
      <w:r>
        <w:rPr>
          <w:rFonts w:cs="Times New Roman" w:ascii="Times New Roman" w:hAnsi="Times New Roman"/>
          <w:sz w:val="24"/>
        </w:rPr>
        <w:t>Все вышеперечисленные методы и технологии повышения профессиональной компетентности педагогов способствуют достижению интегративного результата совершенствования условий образовательного процесса для преодоления СДВГ у обучающихся: обеспечение, в соответствии с Федеральным законом «Об образовании в Российской Федерации», права обучающихся с СДВГ на предоставление специфических организационно-педагогических, психолого-педагогических, дидактических, санитарно-гигиенических условий и информационно-методических ресурсов с учетом психофизического развития, состояния здоровья и возрастных особенностей обучающихся с СДВГ.</w:t>
      </w:r>
    </w:p>
    <w:p>
      <w:pPr>
        <w:pStyle w:val="Normal"/>
        <w:tabs>
          <w:tab w:val="clear" w:pos="708"/>
          <w:tab w:val="left" w:pos="567" w:leader="none"/>
          <w:tab w:val="left" w:pos="993" w:leader="none"/>
        </w:tabs>
        <w:spacing w:lineRule="auto" w:line="360"/>
        <w:ind w:firstLine="567"/>
        <w:jc w:val="both"/>
        <w:rPr>
          <w:rFonts w:ascii="Times New Roman" w:hAnsi="Times New Roman" w:cs="Times New Roman"/>
          <w:sz w:val="24"/>
          <w:szCs w:val="24"/>
          <w:lang w:val="en-US"/>
        </w:rPr>
      </w:pPr>
      <w:r>
        <w:rPr>
          <w:rFonts w:cs="Times New Roman"/>
          <w:sz w:val="24"/>
          <w:szCs w:val="24"/>
          <w:lang w:val="en-US"/>
        </w:rPr>
      </w:r>
    </w:p>
    <w:p>
      <w:pPr>
        <w:pStyle w:val="Normal"/>
        <w:tabs>
          <w:tab w:val="clear" w:pos="708"/>
          <w:tab w:val="left" w:pos="720" w:leader="none"/>
        </w:tabs>
        <w:spacing w:lineRule="auto" w:line="357"/>
        <w:ind w:right="76" w:firstLine="567"/>
        <w:jc w:val="both"/>
        <w:rPr/>
      </w:pPr>
      <w:r>
        <w:rPr>
          <w:b/>
          <w:sz w:val="28"/>
          <w:szCs w:val="28"/>
        </w:rPr>
        <w:t>3</w:t>
      </w:r>
      <w:r>
        <w:rPr>
          <w:b/>
          <w:sz w:val="24"/>
          <w:szCs w:val="24"/>
        </w:rPr>
        <w:t>. Балинтовская группа как условие совершенствования профессиональной компетентности педагогов в сфере преодоления СДВГ у обучающихся в образовательном процессе</w:t>
      </w:r>
    </w:p>
    <w:p>
      <w:pPr>
        <w:pStyle w:val="Normal"/>
        <w:tabs>
          <w:tab w:val="clear" w:pos="708"/>
          <w:tab w:val="left" w:pos="720" w:leader="none"/>
        </w:tabs>
        <w:spacing w:lineRule="auto" w:line="357"/>
        <w:ind w:right="76" w:firstLine="567"/>
        <w:jc w:val="both"/>
        <w:rPr>
          <w:b/>
          <w:b/>
          <w:sz w:val="28"/>
          <w:szCs w:val="28"/>
        </w:rPr>
      </w:pPr>
      <w:r>
        <w:rPr>
          <w:b/>
          <w:sz w:val="28"/>
          <w:szCs w:val="28"/>
        </w:rPr>
      </w:r>
    </w:p>
    <w:p>
      <w:pPr>
        <w:pStyle w:val="Normal"/>
        <w:tabs>
          <w:tab w:val="clear" w:pos="708"/>
          <w:tab w:val="left" w:pos="720" w:leader="none"/>
        </w:tabs>
        <w:spacing w:lineRule="auto" w:line="357"/>
        <w:ind w:right="76" w:firstLine="567"/>
        <w:jc w:val="both"/>
        <w:rPr>
          <w:sz w:val="24"/>
        </w:rPr>
      </w:pPr>
      <w:r>
        <w:rPr>
          <w:sz w:val="24"/>
        </w:rPr>
        <w:t>Одним из путей преодоления профессиональных дефицитов педагогов и расширения возможностей для реализации мультидисциплинарного подхода в решении проблем, связанных с особенностями детей с СДВГ, является участие в работе балинтовской группы. Балинтовская группа - особый формат супервизии, основанный на организованной в рамках аналитического направления групповой дискуссии относительно представленного в устной форме случая педагогической практики, что содействует совершенствованию предметной, методической, коммуникативной, психолого-педагогической компетентностей педагогов [10].</w:t>
      </w:r>
    </w:p>
    <w:p>
      <w:pPr>
        <w:pStyle w:val="Normal"/>
        <w:tabs>
          <w:tab w:val="clear" w:pos="708"/>
          <w:tab w:val="left" w:pos="720" w:leader="none"/>
        </w:tabs>
        <w:spacing w:lineRule="auto" w:line="357"/>
        <w:ind w:right="76" w:firstLine="567"/>
        <w:jc w:val="both"/>
        <w:rPr>
          <w:strike/>
          <w:sz w:val="24"/>
        </w:rPr>
      </w:pPr>
      <w:r>
        <w:rPr>
          <w:sz w:val="24"/>
        </w:rPr>
        <w:t xml:space="preserve">Процесс повышения профессиональной компетентности, построенный на основе включения педагога в активное взаимодействие в групповой работе, отличается от традиционного процесса повышения квалификации, направленного на преодоление профессиональных дефицитов, тем, что приобретает эмоциональный характер и становится личностно значимым и результативным в условиях специально созданной безопасной среды общения в «Балинтовской группе». </w:t>
      </w:r>
    </w:p>
    <w:p>
      <w:pPr>
        <w:pStyle w:val="Normal"/>
        <w:tabs>
          <w:tab w:val="clear" w:pos="708"/>
          <w:tab w:val="left" w:pos="720" w:leader="none"/>
        </w:tabs>
        <w:spacing w:lineRule="auto" w:line="357"/>
        <w:ind w:right="76" w:firstLine="567"/>
        <w:jc w:val="both"/>
        <w:rPr/>
      </w:pPr>
      <w:r>
        <w:rPr>
          <w:sz w:val="24"/>
        </w:rPr>
        <w:t>Предметом анализа в группе являются обсуждения случаев из практики участников, «трудные» или «неудачные» эпизоды из прошлого, продолжающие беспокоить и вызывающие дискомфортные воспоминания, остающиеся «непонятными». Это могут быть и так называемые «фантастические» педагогические ситуации, даже гипотетическая возможность которых волнует педагога. В зависимости от состава и интересов участников обсуждаться могут однотипные случаи. Основным принципом формирования группы является добровольность объединения профессионалов, готовых к пересмотру стереотипов в своей работе и «апостольских» установок (установок на свою «бесспорную компетентность» в любых профессиональных ситуациях), заинтересованных в коллегиальной взаимопомощи. [</w:t>
      </w:r>
      <w:r>
        <w:rPr>
          <w:sz w:val="24"/>
          <w:lang w:val="en-US"/>
        </w:rPr>
        <w:t>10</w:t>
      </w:r>
      <w:r>
        <w:rPr>
          <w:sz w:val="24"/>
        </w:rPr>
        <w:t>]</w:t>
      </w:r>
    </w:p>
    <w:p>
      <w:pPr>
        <w:pStyle w:val="Style23"/>
        <w:shd w:fill="FFFFFF" w:val="clear"/>
        <w:tabs>
          <w:tab w:val="clear" w:pos="708"/>
          <w:tab w:val="left" w:pos="720" w:leader="none"/>
        </w:tabs>
        <w:spacing w:lineRule="auto" w:line="360" w:before="0" w:after="0"/>
        <w:ind w:firstLine="567"/>
        <w:jc w:val="both"/>
        <w:rPr>
          <w:lang w:val="en-US"/>
        </w:rPr>
      </w:pPr>
      <w:r>
        <w:rPr>
          <w:color w:val="000000"/>
        </w:rPr>
        <w:t xml:space="preserve">Основными идеями создания балинтовских групп являются повышение компетентности в профессиональном межличностном общении; осознание личностных «слепых пятен», блокирующих профессиональные отношения; психопрофилактика «синдрома сгорания» участников группы, основанная на возможности проработки «сложных случаев» в ситуации коллегиальной поддержки. </w:t>
      </w:r>
      <w:r>
        <w:rPr>
          <w:color w:val="000000"/>
          <w:shd w:fill="FFFFFF" w:val="clear"/>
        </w:rPr>
        <w:t>Работа балинтовских групп основывается на реальных случаях из педагогической практики членов группы; обсуждение сосредоточено на взаимоотношениях "педагог-ученик», «педагог- педагог», «педагог-родитель»; группа не занимается поиском "единственно верного решения", поиском истины; в ней не может быть борьбы, подавления чужих мнений. Все точки зрения равноправны и одинаково приемлемы, если высказаны корректно. [6</w:t>
      </w:r>
      <w:r>
        <w:rPr/>
        <w:t>]</w:t>
      </w:r>
      <w:r>
        <w:rPr>
          <w:color w:val="000000"/>
          <w:shd w:fill="FFFFFF" w:val="clear"/>
        </w:rPr>
        <w:t xml:space="preserve"> </w:t>
      </w:r>
      <w:r>
        <w:rPr>
          <w:color w:val="000000"/>
        </w:rPr>
        <w:t>Предметом анализа в группе являются обсуждения случаев из практики участников, «трудные» или «неудачные» эпизоды из прошлого, продолжающие беспокоить и вызывающие дискомфортные воспоминания, остающиеся «непонятными». В зависимости от состава и интересов участников обсуждаться могут однотипные случаи. Основным принципом формирования группы является добровольность объединения педагогов-профессионалов, готовых к пересмотру стереоти</w:t>
        <w:softHyphen/>
        <w:t>пов и ригидных установок в своей работе с детьми с СДВГ и их родителями, заинтересованных в коллегиальной взаимопомощи. [106</w:t>
      </w:r>
      <w:r>
        <w:rPr>
          <w:rStyle w:val="12pt03"/>
          <w:iCs/>
          <w:color w:val="000000"/>
        </w:rPr>
        <w:t xml:space="preserve">] </w:t>
      </w:r>
      <w:r>
        <w:rPr>
          <w:color w:val="000000"/>
        </w:rPr>
        <w:t xml:space="preserve">Одной из предпосылок необходимости создания балинтовских групп педагогов, служит анализ их профессионального «самочувствия», который показывает, что даже при большом опыте и стаже работы необходимость в получении новой информации и квалифицированной обратной связи от коллег в различных неясных и трудных случаях достаточно велика. [6] </w:t>
      </w:r>
      <w:r>
        <w:rPr/>
        <w:t>Участие в работе балинтовской группы помогает педагогу увидеть (при получении обратной связи, вопросов со стороны коллег) те моменты в профессиональных отношениях, которые он не замечал раньше и тем самым расширить понимание ситуаций, связанных с обучением и воспитанием детей с СДВГ до оптимального, а также выработать положительные средства ее регуляции. В</w:t>
      </w:r>
      <w:r>
        <w:rPr>
          <w:rFonts w:eastAsia="PTSerif-Regular;MS Mincho"/>
          <w:szCs w:val="20"/>
        </w:rPr>
        <w:t xml:space="preserve"> процессе рефлексивного взаимодействия в безопасных условиях целенаправленного группового взаимодействия, оставаясь в границах базовых педагогических компетенций, педагог совершенствует способность отмечать особенности поведения и развития ребенка с СДВГ, учится избегать ошибочного приписывания данного синдрома импульсивным, одаренным, тревожным детям, у которых могут наблюдаться отдельные схожие признаки (несдержанность, суетливость, невнимательность и др.). [25]</w:t>
      </w:r>
      <w:r>
        <w:rPr/>
        <w:t xml:space="preserve"> Группа может объединять людей с различным полами, стажем работы. Оптимальное количество участников группы 8-12 человек. [6</w:t>
      </w:r>
      <w:r>
        <w:rPr>
          <w:lang w:val="en-US"/>
        </w:rPr>
        <w:t>]</w:t>
      </w:r>
    </w:p>
    <w:p>
      <w:pPr>
        <w:pStyle w:val="Style23"/>
        <w:shd w:fill="FFFFFF" w:val="clear"/>
        <w:tabs>
          <w:tab w:val="clear" w:pos="708"/>
          <w:tab w:val="left" w:pos="720" w:leader="none"/>
        </w:tabs>
        <w:spacing w:lineRule="auto" w:line="360" w:before="0" w:after="0"/>
        <w:ind w:firstLine="567"/>
        <w:jc w:val="both"/>
        <w:rPr>
          <w:color w:val="333333"/>
          <w:shd w:fill="FFFFFF" w:val="clear"/>
        </w:rPr>
      </w:pPr>
      <w:r>
        <w:rPr/>
        <w:t>Примерный алгоритм проведения балинтовской группы выглядит следующим образом.</w:t>
      </w:r>
    </w:p>
    <w:p>
      <w:pPr>
        <w:pStyle w:val="Normal"/>
        <w:tabs>
          <w:tab w:val="clear" w:pos="708"/>
          <w:tab w:val="left" w:pos="720" w:leader="none"/>
        </w:tabs>
        <w:spacing w:lineRule="auto" w:line="360"/>
        <w:ind w:firstLine="567"/>
        <w:jc w:val="both"/>
        <w:rPr/>
      </w:pPr>
      <w:r>
        <w:rPr>
          <w:color w:val="333333"/>
          <w:sz w:val="24"/>
          <w:shd w:fill="FFFFFF" w:val="clear"/>
        </w:rPr>
        <w:t>Первый «шаг» может быть условно назван «определение заказчика» из числа участников балинтовской группы. Каждое занятие традиционно начинается с вопроса, ведущего: «Кто хотел бы представить на рассмотрение свой случай, проблему, создающие состояние дискомфорта?». Обычно после небольшой, а иногда и продолжительной паузы определяется один или несколько желающих. Каждого из претендентов на «заказ» ведущий просит описать в течение 1-2 минут свой случай в произвольной, но лаконичной форме. После непродолжительной дискуссии и выбора группа отдает предпочтение одному из «заказчиков». При голосовании может возникнуть ситуация, когда два "заказчика" получат равное количество голосов. Тогда право выбора предоставляется обоим путем переговоров или руководитель берет инициативу на себя.</w:t>
      </w:r>
    </w:p>
    <w:p>
      <w:pPr>
        <w:pStyle w:val="Normal"/>
        <w:tabs>
          <w:tab w:val="clear" w:pos="708"/>
          <w:tab w:val="left" w:pos="720" w:leader="none"/>
        </w:tabs>
        <w:spacing w:lineRule="auto" w:line="360"/>
        <w:ind w:firstLine="567"/>
        <w:jc w:val="both"/>
        <w:rPr/>
      </w:pPr>
      <w:r>
        <w:rPr>
          <w:color w:val="333333"/>
          <w:sz w:val="24"/>
          <w:shd w:fill="FFFFFF" w:val="clear"/>
        </w:rPr>
        <w:t>Второй «шаг» работы группы предполагает рассказ "заказчика" о своем трудном случае из практики своей профессиональной деятельности. Устанавливаются "мягкие" ограничения по времени. Руководитель и члены группы внимательно слушают и наблюдают за его поведением и поведением друг друга. Их наблюдения могут оказаться очень полезными для последующего анализа коммуникативных затруднений докладчика.</w:t>
      </w:r>
    </w:p>
    <w:p>
      <w:pPr>
        <w:pStyle w:val="Normal"/>
        <w:tabs>
          <w:tab w:val="clear" w:pos="708"/>
          <w:tab w:val="left" w:pos="720" w:leader="none"/>
        </w:tabs>
        <w:spacing w:lineRule="auto" w:line="360"/>
        <w:ind w:firstLine="567"/>
        <w:jc w:val="both"/>
        <w:rPr/>
      </w:pPr>
      <w:r>
        <w:rPr>
          <w:color w:val="333333"/>
          <w:sz w:val="24"/>
          <w:shd w:fill="FFFFFF" w:val="clear"/>
        </w:rPr>
        <w:t>Третий «шаг» – формулирование "заказчиком" вопросов к группе по своему случаю, вынесенному на обсуждение. На этом этапе ведущий помогает "заказчику" сформулировать запросы (вопросы и пожелания) группе, в которых заложено желание получить новые знания и (или) групповую поддержку. Целесообразно записать вопросы на доске или планшете, т.к. все участники группы постоянно обращаются к ним, сохраняя точность их содержания.</w:t>
      </w:r>
    </w:p>
    <w:p>
      <w:pPr>
        <w:pStyle w:val="Normal"/>
        <w:tabs>
          <w:tab w:val="clear" w:pos="708"/>
          <w:tab w:val="left" w:pos="720" w:leader="none"/>
        </w:tabs>
        <w:spacing w:lineRule="auto" w:line="360"/>
        <w:ind w:firstLine="567"/>
        <w:jc w:val="both"/>
        <w:rPr/>
      </w:pPr>
      <w:r>
        <w:rPr>
          <w:color w:val="333333"/>
          <w:sz w:val="24"/>
          <w:shd w:fill="FFFFFF" w:val="clear"/>
        </w:rPr>
        <w:t>Четвертый «шаг» – вопросы группы к участнику, представившему случай. Этот этап может проводиться по-разному в зависимости от состава участников, опыта и предпочтений ведущего. В классической балинтовской группе поведение на данном этапе жестко не регламентировано. В этом случае все спонтанные реакции участников, их поведение и эмоциональные проявления фиксируются ведущим и могут явиться в дальнейшем объектом динамического анализа (в классической группе это не используется, т.к. групповая динамика в ней не является предметом анализа). Другой вариант, напротив, жестко структурированный. Все участники задают по кругу "заказчику" по одному вопросу. Таких кругов может быть несколько. Кто-то из участников, не желающий задавать вопрос для прояснения ситуации или проблемы при соответствующей очередности, может ее пропустить. Это не исключает для него возможность задать возникший позже вопрос на следующем "круге".</w:t>
      </w:r>
    </w:p>
    <w:p>
      <w:pPr>
        <w:pStyle w:val="Normal"/>
        <w:tabs>
          <w:tab w:val="clear" w:pos="708"/>
          <w:tab w:val="left" w:pos="720" w:leader="none"/>
        </w:tabs>
        <w:spacing w:lineRule="auto" w:line="360"/>
        <w:ind w:firstLine="567"/>
        <w:jc w:val="both"/>
        <w:rPr>
          <w:color w:val="333333"/>
          <w:sz w:val="24"/>
          <w:shd w:fill="FFFFFF" w:val="clear"/>
        </w:rPr>
      </w:pPr>
      <w:r>
        <w:rPr>
          <w:color w:val="333333"/>
          <w:sz w:val="24"/>
          <w:shd w:fill="FFFFFF" w:val="clear"/>
        </w:rPr>
        <w:t>Еще один вариант, который может использоваться, является промежуточным. Каждому участнику также по кругу предоставляется возможность задать определенное количество вопросов. При этом кто-то может задать их меньше или пропустить свою очередь, вновь воспользовавшись своим правом на новом круге. Отсутствие какой-либо регламентации на этапе вопросов "заказчику" допустимо и может дать интересный материал для последующего обсуждения. Руководитель может также, начав с вопросов по кругу и заметив, что все большее число участников пропускает свою очередь или вопросы по сути повторяются, предложить перейти к неформализованному варианту. В этом случае уместно прямо предложить участникам отказаться от очерёдности и задавать вопросы "в свободном режиме" тем, у кого они еще остались. На этом этапе "заказчик" часто с удивлением обнаруживает, что почему-то забыл или не учел весьма важные аспекты своего случая. Тогда "заказчик" дополняет свой рассказ на третьем этапе, многие неосознаваемые моменты проясняются для него.</w:t>
      </w:r>
    </w:p>
    <w:p>
      <w:pPr>
        <w:pStyle w:val="Normal"/>
        <w:tabs>
          <w:tab w:val="clear" w:pos="708"/>
          <w:tab w:val="left" w:pos="720" w:leader="none"/>
        </w:tabs>
        <w:spacing w:lineRule="auto" w:line="360"/>
        <w:ind w:firstLine="567"/>
        <w:jc w:val="both"/>
        <w:rPr>
          <w:color w:val="333333"/>
          <w:sz w:val="24"/>
          <w:shd w:fill="FFFFFF" w:val="clear"/>
        </w:rPr>
      </w:pPr>
      <w:r>
        <w:rPr>
          <w:color w:val="333333"/>
          <w:sz w:val="24"/>
          <w:shd w:fill="FFFFFF" w:val="clear"/>
        </w:rPr>
        <w:t>Пятый "шаг» – окончательное формулирование "заказчиком" вопросов, которые он хотел бы вынести на обсуждение. Иногда формулировки вопросов сохраняются в первоначальном виде. Чаще, однако, они претерпевают изменения. Некоторые из ранее поставленных вопросов могут вообще потерять свою актуальность для "заказчика", благодаря осознанию им ряда моментов на предыдущем этапе. Список вопросов "заказчика" может быть и расширен, если какие-то из вопросов, заданных ранее группой, кажутся ему существенными для прояснения случая. Руководителю полезно предложить группе сформулировать дополнительные вопросы, ответы на которые, как им представляется, принесут пользу "заказчику". Но право конструирования окончательного списка вопросов остается за заказчиком случая. Заметим, что часто таким дополнительным вопросом, принимаемым "заказчиком", является вопрос о том, какие аспекты в предложенном случае он недостаточно осознает, с точки зрения группы. Обычно окончательный список включает 3-5, но может быть и всего один вопрос.</w:t>
      </w:r>
    </w:p>
    <w:p>
      <w:pPr>
        <w:pStyle w:val="Normal"/>
        <w:tabs>
          <w:tab w:val="clear" w:pos="708"/>
          <w:tab w:val="left" w:pos="720" w:leader="none"/>
        </w:tabs>
        <w:spacing w:lineRule="auto" w:line="360"/>
        <w:ind w:firstLine="567"/>
        <w:jc w:val="both"/>
        <w:rPr/>
      </w:pPr>
      <w:r>
        <w:rPr>
          <w:color w:val="333333"/>
          <w:sz w:val="24"/>
          <w:shd w:fill="FFFFFF" w:val="clear"/>
        </w:rPr>
        <w:t>Шестой «шаг» – ответы группы на запросы "заказчика" и свободная дискуссия. Начало этапа может быть формализовано.</w:t>
      </w:r>
    </w:p>
    <w:p>
      <w:pPr>
        <w:pStyle w:val="Normal"/>
        <w:tabs>
          <w:tab w:val="clear" w:pos="708"/>
          <w:tab w:val="left" w:pos="720" w:leader="none"/>
        </w:tabs>
        <w:spacing w:lineRule="auto" w:line="360"/>
        <w:ind w:firstLine="567"/>
        <w:jc w:val="both"/>
        <w:rPr>
          <w:color w:val="333333"/>
          <w:sz w:val="24"/>
          <w:shd w:fill="FFFFFF" w:val="clear"/>
        </w:rPr>
      </w:pPr>
      <w:r>
        <w:rPr>
          <w:color w:val="333333"/>
          <w:sz w:val="24"/>
          <w:shd w:fill="FFFFFF" w:val="clear"/>
        </w:rPr>
        <w:t>Все участники по кругу отвечают на поставленные перед ними опросы. При этом "заказчик" может предпочесть услышать ответы на все вопросы поочередно от каждого члена группы или предложить, чтобы участники по кругу ответили сначала на первый вопрос, затем на второй и т.д. Если некоторые вопросы представляются ему тесно связанными, то возможно, чтобы каждый ответил по кругу на первую группу вопросов, а потом также по кругу на следующую из них. Ответы могут отражать чувства участников группы: "В этом случае я чувствую себя ... ".</w:t>
      </w:r>
    </w:p>
    <w:p>
      <w:pPr>
        <w:pStyle w:val="Normal"/>
        <w:tabs>
          <w:tab w:val="clear" w:pos="708"/>
          <w:tab w:val="left" w:pos="720" w:leader="none"/>
        </w:tabs>
        <w:spacing w:lineRule="auto" w:line="360"/>
        <w:ind w:firstLine="567"/>
        <w:jc w:val="both"/>
        <w:rPr/>
      </w:pPr>
      <w:r>
        <w:rPr>
          <w:color w:val="333333"/>
          <w:sz w:val="24"/>
          <w:shd w:fill="FFFFFF" w:val="clear"/>
        </w:rPr>
        <w:t>В отличие от 4-го «шага» задавать или не задавать вопросы участнику, представившему случай, на шестом "шаге" ответы на вопросы являются, как правило, обязательными для всех участников группы. Не меньшее значение, чем определенные суждения и "советы", для "заказчика" и остальных участников могут иметь ответы типа: "У меня тоже была подобная ситуация, и я нашел выход ... ". В начинающей работу балинтовской группе участники на этом этапе могут стремиться к разнообразию ответов. Важно не допускать выражений типа: "Я тоже так думаю, как и ..." или "Я не знаю, что говорить, все уже было сказано". В таких случаях руководителю приходится напоминать, что ответы являются "обязанностью" всех членов группы и высказывание точки зрения, даже аналогичной прозвучавшей ранее, весьма важно предоставившему случай. В эмоционально окрашенной атмосфере "заказчик" может не понять смысл однократно высказанного кем-то суждения. Самостоятельное значение имеет для него и сам факт, что многие члены группы предлагают идентичное или близкое видение его ситуации, но группа не стремится ничего навязывать, понимая, что докладчик может заблокировать принятие информации.</w:t>
      </w:r>
    </w:p>
    <w:p>
      <w:pPr>
        <w:pStyle w:val="Normal"/>
        <w:tabs>
          <w:tab w:val="clear" w:pos="708"/>
          <w:tab w:val="left" w:pos="720" w:leader="none"/>
        </w:tabs>
        <w:spacing w:lineRule="auto" w:line="360"/>
        <w:ind w:firstLine="567"/>
        <w:jc w:val="both"/>
        <w:rPr>
          <w:color w:val="333333"/>
          <w:sz w:val="24"/>
          <w:shd w:fill="FFFFFF" w:val="clear"/>
        </w:rPr>
      </w:pPr>
      <w:r>
        <w:rPr>
          <w:color w:val="333333"/>
          <w:sz w:val="24"/>
          <w:shd w:fill="FFFFFF" w:val="clear"/>
        </w:rPr>
        <w:t>Поощряются на этом этапе и свободные ассоциации на тему: "Аналогичная проблема". После высказывания любого члена группы "заказчик" может задать ему уточняющие вопросы, если что-то осталось неясным. Может быть, что в балинтовской группе один участник осознанно или неосознанно идентифицирует себя с "заказчиком" или его "партнером" по обсуждаемой ситуации. Высказывания последних могут быть, например, такими: "Знаешь, я представил себя на месте ... когда ты произносил что-то в его адрес, воспроизводя ситуацию, и при этом заикался, я почувствовал себя напряженно". Подобные высказывания имеют особую ценность для представляющего случай психотерапевта, да и для остальных участников также. В хорошо работающей балинтовской группе отдельные реплики провоцируют продолжение обсуждения в виде дальнейших его кругов или свободной, но корректно управляемой дискуссии. Это приводит к более глубокому пониманию проблем, творческому коллективному развитию прозвучавших точек зрения, неожиданных ракурсов видения обсуждаемой ситуации. Такое обсуждение позволяет воспользоваться полученной обратной связью участников балинтовской группы, как корректирующей, так и психологически поддерживающей.</w:t>
      </w:r>
    </w:p>
    <w:p>
      <w:pPr>
        <w:pStyle w:val="Normal"/>
        <w:tabs>
          <w:tab w:val="clear" w:pos="708"/>
          <w:tab w:val="left" w:pos="720" w:leader="none"/>
        </w:tabs>
        <w:spacing w:lineRule="auto" w:line="360"/>
        <w:ind w:firstLine="567"/>
        <w:jc w:val="both"/>
        <w:rPr/>
      </w:pPr>
      <w:r>
        <w:rPr>
          <w:color w:val="333333"/>
          <w:sz w:val="24"/>
          <w:shd w:fill="FFFFFF" w:val="clear"/>
        </w:rPr>
        <w:t>Обратная связь от руководителя группы к "заказчику" осуществляется на седьмом «шаге». Ведущий обобщает ответы группы, высказывает собственное видение ситуации, представленной "заказчиком" на обсуждение, предположений о причинах возникших у "заказчика" трудностей и т.д. (Заметим, что в различных видах социально-психологического тренинга ведущие, как правило, интерпретацию не дают). В конце работы ведущий благодарит "заказчика" за предоставленный случай и смелость при его разборе, а участников группы – за поддержку сотрудника.</w:t>
      </w:r>
    </w:p>
    <w:p>
      <w:pPr>
        <w:pStyle w:val="Normal"/>
        <w:tabs>
          <w:tab w:val="clear" w:pos="708"/>
          <w:tab w:val="left" w:pos="720" w:leader="none"/>
        </w:tabs>
        <w:spacing w:lineRule="auto" w:line="360"/>
        <w:ind w:firstLine="567"/>
        <w:jc w:val="both"/>
        <w:rPr/>
      </w:pPr>
      <w:r>
        <w:rPr>
          <w:color w:val="333333"/>
          <w:sz w:val="24"/>
          <w:shd w:fill="FFFFFF" w:val="clear"/>
        </w:rPr>
        <w:t>На восьмом «шаге» "заказчик" дает информацию о своих ощущениях. Его высказывания могут касаться собственного эмоционального состояния и впечатлений о работе группы. Он может также представить обратную связь конкретным участникам, содержащую его мнение об эффективности их деятельности, поблагодарить за поддержку или высказаться о своем состоянии словами "как стало легко и многое понятно" и т.п. Балинтовская сессия может заканчиваться высказываниями отдельных членов группы о своих ощущениях и впечатлениях. Решаются также организационные вопросы, принимаются предложения.</w:t>
      </w:r>
    </w:p>
    <w:p>
      <w:pPr>
        <w:pStyle w:val="Normal"/>
        <w:tabs>
          <w:tab w:val="clear" w:pos="708"/>
          <w:tab w:val="left" w:pos="720" w:leader="none"/>
        </w:tabs>
        <w:spacing w:lineRule="auto" w:line="360"/>
        <w:ind w:firstLine="567"/>
        <w:jc w:val="both"/>
        <w:rPr>
          <w:color w:val="333333"/>
          <w:sz w:val="24"/>
          <w:shd w:fill="FFFFFF" w:val="clear"/>
        </w:rPr>
      </w:pPr>
      <w:r>
        <w:rPr>
          <w:color w:val="333333"/>
          <w:sz w:val="24"/>
          <w:shd w:fill="FFFFFF" w:val="clear"/>
        </w:rPr>
        <w:t xml:space="preserve">Рассказ строится в абсолютно свободной форме. Рассказчика не ограничивают во времени, а ведущий следит за тем, чтобы его не перебивали. Обычно, кратко рассказав о предистории взаимоотношений с пациентом, специалист более подробно останавливается на собственно тревожащей его конфликтной или кризисной ситуации в процессе лечения. Нередко возникает вопрос о том, надо ли готовить предлагаемый случай накануне, восстанавливать и документировать детали обследования и лечения пациента. Для балинтовской группы — это не существенно, и более продуктивны спонтанные рассказы, так как анализ забытых важных деталей часто приносит ценную информацию и, в любом случае, поскольку речь идет о «непонятной» для рассказчика ситуации, группа может выявлять его субъективны «слепые пятна», благодаря или вопреки его «тщательной подготовке». На этом этапе ведущий и члены группы внимательно наблюдают за поведением и эмоциональными реакциями участников, сопровождающими рассказ, могут делать записи для предстоящего обсуждения. </w:t>
      </w:r>
    </w:p>
    <w:p>
      <w:pPr>
        <w:pStyle w:val="Normal"/>
        <w:tabs>
          <w:tab w:val="clear" w:pos="708"/>
          <w:tab w:val="left" w:pos="720" w:leader="none"/>
        </w:tabs>
        <w:spacing w:lineRule="auto" w:line="360"/>
        <w:ind w:firstLine="567"/>
        <w:jc w:val="both"/>
        <w:rPr/>
      </w:pPr>
      <w:r>
        <w:rPr>
          <w:color w:val="333333"/>
          <w:sz w:val="24"/>
          <w:shd w:fill="FFFFFF" w:val="clear"/>
        </w:rPr>
        <w:t xml:space="preserve">Балинтовская группа «ПЕРСПЕКТИВА» была </w:t>
      </w:r>
      <w:r>
        <w:rPr>
          <w:sz w:val="24"/>
        </w:rPr>
        <w:t xml:space="preserve">создана на базе ГБУ ДО ЦППМСП Выборгского района Санкт-Петербурга в 2019 году и руководствуется в своей деятельности Уставом Учреждения, Положением и другими соответствующими нормативными и локальными актами. Целями и задачами балинтовской группы «Перспектива» являются: повышение компетентности в ходе профессионального межличностного общения; </w:t>
      </w:r>
      <w:r>
        <w:rPr>
          <w:bCs/>
          <w:sz w:val="24"/>
        </w:rPr>
        <w:t xml:space="preserve">улучшение восприятия и понимания проблем ученика с СДВГ и сложностей взаимодействия с ним в процессе взаимодействия; развитие навыков межличностных взаимоотношений педагогог - родители – обучающийся с СДВГ; осознание собственных чувств, умение их контролировать и использовать в работе с детьми с СДВГ и их родителями; психопрофилактика «эмоционального выгорания» участников группы, основанная на возможности проработки "неудачных случаев" связанных с обучением и воспитание детей с СДВГ в ситуации коллегиальной поддержки; эмоциональная поддержка участников группы. </w:t>
      </w:r>
    </w:p>
    <w:p>
      <w:pPr>
        <w:pStyle w:val="Style23"/>
        <w:shd w:fill="FFFFFF" w:val="clear"/>
        <w:tabs>
          <w:tab w:val="clear" w:pos="708"/>
          <w:tab w:val="left" w:pos="720" w:leader="none"/>
        </w:tabs>
        <w:spacing w:lineRule="auto" w:line="360" w:before="0" w:after="0"/>
        <w:ind w:firstLine="567"/>
        <w:jc w:val="both"/>
        <w:rPr/>
      </w:pPr>
      <w:r>
        <w:rPr/>
        <w:t xml:space="preserve">В состав балинтовской группы вошли педагоги, педагоги-психологи, социальные педагоги общеобразовательных организаций, ГБУ ДО </w:t>
        <w:tab/>
        <w:t xml:space="preserve">ЦППМСП Выборгского района Санкт-Петербурга, принимающие участие в апробации модели по теме РИП «Совершенствование условий организации и осуществления образовательного процесса для преодоления синдрома дефицита внимания и гиперактивности у обучающихся», педагоги, </w:t>
      </w:r>
      <w:bookmarkStart w:id="11" w:name="_Hlk60994401"/>
      <w:r>
        <w:rPr/>
        <w:t xml:space="preserve">прошедшие обучение по программе дополнительного образования (курсов повышения квалификации) «Проектирование педагогических условий для преодоления синдрома дефицита внимания и гиперактивности обучающихся в образовательном процессе». </w:t>
      </w:r>
      <w:bookmarkEnd w:id="11"/>
      <w:r>
        <w:rPr/>
        <w:t xml:space="preserve">Критериями отбора педагогов в балинтовскую группу «Перспектива» стали добровольность, заинтересованность и мотивированность участников. Встречи </w:t>
      </w:r>
      <w:r>
        <w:rPr>
          <w:bCs/>
        </w:rPr>
        <w:t>продолжительностью 90 минут</w:t>
      </w:r>
      <w:r>
        <w:rPr/>
        <w:t xml:space="preserve"> проходили </w:t>
      </w:r>
      <w:r>
        <w:rPr>
          <w:bCs/>
        </w:rPr>
        <w:t xml:space="preserve">ежемесячно. </w:t>
      </w:r>
    </w:p>
    <w:p>
      <w:pPr>
        <w:pStyle w:val="Normal"/>
        <w:tabs>
          <w:tab w:val="clear" w:pos="708"/>
          <w:tab w:val="left" w:pos="720" w:leader="none"/>
        </w:tabs>
        <w:spacing w:lineRule="auto" w:line="357"/>
        <w:ind w:right="76" w:firstLine="567"/>
        <w:jc w:val="both"/>
        <w:rPr>
          <w:sz w:val="24"/>
        </w:rPr>
      </w:pPr>
      <w:r>
        <w:rPr>
          <w:sz w:val="24"/>
        </w:rPr>
        <w:t xml:space="preserve">В ходе работы балинтовской группы участники получали новую информацию о работе коллег в форме обратной связи в различных трудных случаях при формировании педагогических условий для преодоления трудностей обучения и поведения детей с СДВГ. Педагоги активно участвовали в работе. Многие участники отмечали, что для них данный формат работы оказался новым, но интересным и полезным. В ходе работы группы были обозначены такие трудности педагогов, как взаимодействие с обучающимися с СДВГ и их родителями в ходе внедрения новых педагогических условий, личное отношение к отдельным обучающимся, сложность контроля эмоций при выстраивании работы с обучающимися с СДВГ, уверенность в индивидуализации трудностей при построении специальных условии детей с особыми образовательными потребностями и др. </w:t>
      </w:r>
    </w:p>
    <w:p>
      <w:pPr>
        <w:pStyle w:val="Normal"/>
        <w:tabs>
          <w:tab w:val="clear" w:pos="708"/>
          <w:tab w:val="left" w:pos="720" w:leader="none"/>
        </w:tabs>
        <w:spacing w:lineRule="auto" w:line="357"/>
        <w:ind w:right="76" w:firstLine="567"/>
        <w:jc w:val="both"/>
        <w:rPr>
          <w:i/>
          <w:i/>
          <w:iCs/>
          <w:sz w:val="24"/>
        </w:rPr>
      </w:pPr>
      <w:r>
        <w:rPr>
          <w:i/>
          <w:iCs/>
          <w:sz w:val="24"/>
        </w:rPr>
        <w:t>Пример работы со случаем в рамках Балинтовской группы.</w:t>
      </w:r>
    </w:p>
    <w:p>
      <w:pPr>
        <w:pStyle w:val="Normal"/>
        <w:tabs>
          <w:tab w:val="clear" w:pos="708"/>
          <w:tab w:val="left" w:pos="720" w:leader="none"/>
        </w:tabs>
        <w:spacing w:lineRule="auto" w:line="357"/>
        <w:ind w:right="76" w:firstLine="567"/>
        <w:jc w:val="both"/>
        <w:rPr/>
      </w:pPr>
      <w:r>
        <w:rPr>
          <w:sz w:val="24"/>
        </w:rPr>
        <w:t xml:space="preserve">Педагог поделился своими переживаниями в связи с тем, что у него возникли трудности взаимодействия с обучающимся при его нежелании принимать участие в Выполнении упражнений на уроке. При обращении к родителям педагог не нашла поддержки и понимания, они были не готовы к сотрудничеству и не могли оказать помощь самостоятельно в решении возникших трудностей с их ребенком. Случай был успешно проработан на встрече балинтовской группы. Педагог получила обратную связь и эмоциональную поддержку от коллег, и в итоге нашла способы позитивного взаимодействия с обучающимся и его родителями. Также педагог отметила, что благодаря такому мероприятию она почувствовал себя лучше и уверенней в профессиональном взаимодействии с детьми с СДВГ. В целом результатом работы, как отмечали сами участники, становилось улучшение профессионального самочувствия, уверенность в собственных силах, готовность действовать с «новыми силами». Педагоги отмечали, что получили эмоциональную поддержку коллег и полезный материал для развития профессиональных навыков, что возросла степень удовлетворения от работы. </w:t>
      </w:r>
    </w:p>
    <w:p>
      <w:pPr>
        <w:pStyle w:val="Normal"/>
        <w:tabs>
          <w:tab w:val="clear" w:pos="708"/>
          <w:tab w:val="left" w:pos="720" w:leader="none"/>
        </w:tabs>
        <w:spacing w:lineRule="auto" w:line="360"/>
        <w:ind w:firstLine="567"/>
        <w:jc w:val="both"/>
        <w:rPr>
          <w:color w:val="000000"/>
          <w:sz w:val="24"/>
          <w:szCs w:val="24"/>
          <w:shd w:fill="FFFFFF" w:val="clear"/>
        </w:rPr>
      </w:pPr>
      <w:r>
        <w:rPr>
          <w:color w:val="000000"/>
          <w:sz w:val="24"/>
          <w:szCs w:val="24"/>
          <w:shd w:fill="FFFFFF" w:val="clear"/>
        </w:rPr>
        <w:t>Работа в предложенном формате вызвала интерес, педагоги активно участвовали в обсуждении случаев их педагогической практики, учились анализировать причины возникающих трудностей во взаимодействии с обучающимися с СДВГ и их родителями. Многие участники отмечали, что для них данный формат работы оказался новым, но интересным и полезным. В ходе работы группы были обозначены такие трудности педагогов, как взаимодействие с обучающимися с СДВГ и их родителями в ходе внедрения новых педагогических условий образовательного процесса, личное отношение к отдельным обучающимся, сложность контроля эмоций при выстраивании работы с обучающимися с СДВГ, уверенность в индивидуализации трудностей при построении специальных условии детей с особыми образовательными потребностями и др.</w:t>
      </w:r>
    </w:p>
    <w:p>
      <w:pPr>
        <w:pStyle w:val="Normal"/>
        <w:tabs>
          <w:tab w:val="clear" w:pos="708"/>
          <w:tab w:val="left" w:pos="720" w:leader="none"/>
        </w:tabs>
        <w:spacing w:lineRule="auto" w:line="357"/>
        <w:ind w:right="76" w:firstLine="567"/>
        <w:jc w:val="both"/>
        <w:rPr>
          <w:rFonts w:eastAsia="PTSerif-Regular;MS Mincho"/>
          <w:sz w:val="24"/>
          <w:szCs w:val="24"/>
        </w:rPr>
      </w:pPr>
      <w:r>
        <w:rPr>
          <w:rFonts w:eastAsia="PTSerif-Regular;MS Mincho"/>
          <w:sz w:val="24"/>
          <w:szCs w:val="24"/>
        </w:rPr>
        <w:t>Таким образом, б</w:t>
      </w:r>
      <w:r>
        <w:rPr>
          <w:iCs/>
          <w:color w:val="000000"/>
          <w:sz w:val="24"/>
          <w:szCs w:val="24"/>
        </w:rPr>
        <w:t xml:space="preserve">алинтовская группа является эффективной формой преодоления дефицитов профессиональных компетенций у педагогов, работающих с детьми с СДВГ, и создающих условия для преодоления проявлений СДВГ у обучающихся начальной и средней школы. Данная форма работы, как форма повышения квалификации, </w:t>
      </w:r>
      <w:r>
        <w:rPr>
          <w:color w:val="000000"/>
          <w:sz w:val="24"/>
          <w:szCs w:val="24"/>
        </w:rPr>
        <w:t>способствует профессиональному росту и развитию, мотивации совершенствования условий образовательного процесса для детей с особыми образовательными потребностями, позволяет повышать профессиональную самооценку, что является важным условием внедрения современных инновационных технологий. Опыт региональной инновационной площадки показал, что у</w:t>
      </w:r>
      <w:r>
        <w:rPr>
          <w:rFonts w:eastAsia="PTSerif-Regular;MS Mincho"/>
          <w:sz w:val="24"/>
          <w:szCs w:val="24"/>
        </w:rPr>
        <w:t xml:space="preserve">спешность совершенствования условий организации и осуществления образовательного процесса для преодоления синдрома дефицита внимания и гиперактивности у обучающихся обеспечивается высокой мотивацией значительной части педагогов на расширение профессиональных компетенций по теме СДВГ в рамках неформальных форм повышения квалификации. </w:t>
      </w:r>
    </w:p>
    <w:p>
      <w:pPr>
        <w:pStyle w:val="Normal"/>
        <w:tabs>
          <w:tab w:val="clear" w:pos="708"/>
          <w:tab w:val="left" w:pos="720" w:leader="none"/>
        </w:tabs>
        <w:spacing w:lineRule="auto" w:line="357"/>
        <w:ind w:right="76" w:firstLine="567"/>
        <w:jc w:val="both"/>
        <w:rPr>
          <w:rFonts w:eastAsia="PTSerif-Regular;MS Mincho"/>
          <w:sz w:val="24"/>
          <w:szCs w:val="24"/>
        </w:rPr>
      </w:pPr>
      <w:r>
        <w:rPr>
          <w:rFonts w:eastAsia="PTSerif-Regular;MS Mincho"/>
          <w:sz w:val="24"/>
          <w:szCs w:val="24"/>
        </w:rPr>
      </w:r>
    </w:p>
    <w:p>
      <w:pPr>
        <w:pStyle w:val="ListParagraph"/>
        <w:tabs>
          <w:tab w:val="clear" w:pos="708"/>
          <w:tab w:val="left" w:pos="993" w:leader="none"/>
        </w:tabs>
        <w:jc w:val="both"/>
        <w:rPr/>
      </w:pPr>
      <w:r>
        <w:rPr>
          <w:rFonts w:cs="Times New Roman" w:ascii="Times New Roman" w:hAnsi="Times New Roman"/>
          <w:b/>
          <w:bCs/>
          <w:color w:val="000000"/>
          <w:sz w:val="24"/>
          <w:szCs w:val="24"/>
        </w:rPr>
        <w:t>4.Электронный информационно-методический ресурс – сайт «Навигатор», как инструмент дистанционной поддержки педагогов и родителей детей с СДВГ</w:t>
      </w:r>
    </w:p>
    <w:p>
      <w:pPr>
        <w:pStyle w:val="ListParagraph"/>
        <w:tabs>
          <w:tab w:val="clear" w:pos="708"/>
          <w:tab w:val="left" w:pos="0" w:leader="none"/>
        </w:tabs>
        <w:ind w:left="0" w:firstLine="567"/>
        <w:jc w:val="both"/>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ListParagraph"/>
        <w:tabs>
          <w:tab w:val="clear" w:pos="708"/>
          <w:tab w:val="left" w:pos="0" w:leader="none"/>
        </w:tabs>
        <w:spacing w:lineRule="auto" w:line="360" w:before="0" w:after="0"/>
        <w:ind w:left="0" w:firstLine="567"/>
        <w:contextualSpacing/>
        <w:jc w:val="both"/>
        <w:rPr/>
      </w:pPr>
      <w:r>
        <w:rPr>
          <w:rFonts w:cs="Times New Roman" w:ascii="Times New Roman" w:hAnsi="Times New Roman"/>
          <w:color w:val="000000"/>
          <w:sz w:val="24"/>
          <w:szCs w:val="24"/>
        </w:rPr>
        <w:t xml:space="preserve">В содержании Федерального проекта «Цифровая среда» Национального проекта «Образование» отмечается необходимость создания условий для внедрения к 2024 году современной и безопасной цифровой образовательной среды в образовательных организациях всех видов и уровней, путем обновления информационно-коммуникационной инфраструктуры, подготовки кадров. [31] </w:t>
      </w:r>
    </w:p>
    <w:p>
      <w:pPr>
        <w:pStyle w:val="ListParagraph"/>
        <w:tabs>
          <w:tab w:val="clear" w:pos="708"/>
          <w:tab w:val="left" w:pos="0" w:leader="none"/>
        </w:tabs>
        <w:spacing w:lineRule="auto" w:line="360" w:before="0" w:after="0"/>
        <w:ind w:left="0" w:firstLine="567"/>
        <w:contextualSpacing/>
        <w:jc w:val="both"/>
        <w:rPr/>
      </w:pPr>
      <w:r>
        <w:rPr>
          <w:rFonts w:cs="Times New Roman" w:ascii="Times New Roman" w:hAnsi="Times New Roman"/>
          <w:color w:val="000000"/>
          <w:sz w:val="24"/>
          <w:szCs w:val="24"/>
        </w:rPr>
        <w:t>Наличие сайта - необходимый элемент современной единой информационно-образовательной среды. Сайт необходим как с точки зрения требований законодательства, так и с точки зрения реалий общества.</w:t>
      </w:r>
    </w:p>
    <w:p>
      <w:pPr>
        <w:pStyle w:val="ListParagraph"/>
        <w:tabs>
          <w:tab w:val="clear" w:pos="708"/>
          <w:tab w:val="left" w:pos="0" w:leader="none"/>
        </w:tabs>
        <w:spacing w:lineRule="auto" w:line="360" w:before="0" w:after="0"/>
        <w:ind w:left="0" w:firstLine="567"/>
        <w:contextualSpacing/>
        <w:jc w:val="both"/>
        <w:rPr/>
      </w:pPr>
      <w:r>
        <w:rPr>
          <w:rFonts w:cs="Times New Roman" w:ascii="Times New Roman" w:hAnsi="Times New Roman"/>
          <w:color w:val="000000"/>
          <w:sz w:val="24"/>
          <w:szCs w:val="24"/>
        </w:rPr>
        <w:t xml:space="preserve">Распространение новых информационно-коммуникационных технологий в современном обществе приводит к тому, что все большая часть коммуникации осуществляется через цифровые сервисы: интернет и мобильные средства связи [13]. Электронные источники эффективно дополняют традиционное очное общение. </w:t>
      </w:r>
    </w:p>
    <w:p>
      <w:pPr>
        <w:pStyle w:val="ListParagraph"/>
        <w:tabs>
          <w:tab w:val="clear" w:pos="708"/>
          <w:tab w:val="left" w:pos="0" w:leader="none"/>
        </w:tabs>
        <w:spacing w:lineRule="auto" w:line="360" w:before="0" w:after="0"/>
        <w:ind w:left="0" w:firstLine="567"/>
        <w:contextualSpacing/>
        <w:jc w:val="both"/>
        <w:rPr/>
      </w:pPr>
      <w:r>
        <w:rPr>
          <w:rFonts w:cs="Times New Roman" w:ascii="Times New Roman" w:hAnsi="Times New Roman"/>
          <w:color w:val="000000"/>
          <w:sz w:val="24"/>
          <w:szCs w:val="24"/>
        </w:rPr>
        <w:t>Официальные сайты образовательных организаций могли бы эффективно восполнять разнообразные информационные дефициты у педагогов и родителей. Но они, зачастую, рассказывают об организации в целом, а родителей и детей чаще всего интересуют не просто Центр (Дворец, Дом творчества, Клуб, Детский центр), а ответ на конкретный вопрос, педагогам же интересно получить конкретную методическую помощь и профессиональное общение с коллегами.</w:t>
      </w:r>
    </w:p>
    <w:p>
      <w:pPr>
        <w:pStyle w:val="ListParagraph"/>
        <w:tabs>
          <w:tab w:val="clear" w:pos="708"/>
          <w:tab w:val="left" w:pos="0" w:leader="none"/>
        </w:tabs>
        <w:spacing w:lineRule="auto" w:line="360" w:before="0" w:after="0"/>
        <w:ind w:left="0" w:firstLine="567"/>
        <w:contextualSpacing/>
        <w:jc w:val="both"/>
        <w:rPr/>
      </w:pPr>
      <w:r>
        <w:rPr>
          <w:rFonts w:cs="Times New Roman" w:ascii="Times New Roman" w:hAnsi="Times New Roman"/>
          <w:color w:val="000000"/>
          <w:sz w:val="24"/>
          <w:szCs w:val="24"/>
        </w:rPr>
        <w:t xml:space="preserve">Педагогу и родителю бывает сложно найти сайты, где представлены </w:t>
      </w:r>
      <w:r>
        <w:rPr>
          <w:rFonts w:cs="Times New Roman" w:ascii="Times New Roman" w:hAnsi="Times New Roman"/>
          <w:strike/>
          <w:color w:val="000000"/>
          <w:sz w:val="24"/>
          <w:szCs w:val="24"/>
        </w:rPr>
        <w:t xml:space="preserve">подробные </w:t>
      </w:r>
      <w:r>
        <w:rPr>
          <w:rFonts w:cs="Times New Roman" w:ascii="Times New Roman" w:hAnsi="Times New Roman"/>
          <w:color w:val="000000"/>
          <w:sz w:val="24"/>
          <w:szCs w:val="24"/>
        </w:rPr>
        <w:t>данные по интересующим их вопросам, связанным с оказанием помощи и поддержки детям с СДВГ на основе совершенствования условий образовательного процесса в семье и школе. Поиск такой информации в интернете требует времени и соответствующих компетенций, при этом нет гарантий, что найденные сведения будут актуальными и достоверными.</w:t>
      </w:r>
    </w:p>
    <w:p>
      <w:pPr>
        <w:pStyle w:val="ListParagraph"/>
        <w:tabs>
          <w:tab w:val="clear" w:pos="708"/>
          <w:tab w:val="left" w:pos="0" w:leader="none"/>
        </w:tabs>
        <w:spacing w:lineRule="auto" w:line="360" w:before="0" w:after="0"/>
        <w:ind w:left="0" w:firstLine="567"/>
        <w:contextualSpacing/>
        <w:jc w:val="both"/>
        <w:rPr/>
      </w:pPr>
      <w:r>
        <w:rPr>
          <w:rFonts w:cs="Times New Roman" w:ascii="Times New Roman" w:hAnsi="Times New Roman"/>
          <w:color w:val="000000"/>
          <w:sz w:val="24"/>
          <w:szCs w:val="24"/>
        </w:rPr>
        <w:t>Электронный информационно-методический ресурс «Навигатор для педагогов и родителей детей с СДВГ» был создан на сайте ГБУ ДО ЦППМСП Выборгского района Санкт-Петербурга в соответствии Распоряжением Комитета по образованию Санкт-Петербурга №1845-р от 26.05.2017г. для организации методической помощи педагогам и родителям детей с СДВГ и диссеминации инновационного опыта по теме: «Совершенствование условий организации и осуществления образовательного процесса для преодоления синдрома дефицита внимания и гиперактивности у обучающихся» (далее ЭИМР «Навигатор») [14].</w:t>
      </w:r>
    </w:p>
    <w:p>
      <w:pPr>
        <w:pStyle w:val="ListParagraph"/>
        <w:spacing w:lineRule="auto" w:line="360" w:before="0" w:after="0"/>
        <w:ind w:left="0" w:firstLine="567"/>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Проблему СДВГ невозможно решить указаниями и убеждениями педагогов и родителей. По мнению детского невролога, В.И. Гарбузова, никакая другая детская трудность не вызывает так много нареканий и жалоб учителей и родителей как синдром дефицита внимания и гиперактивности (далее СДВГ) [7].</w:t>
      </w:r>
    </w:p>
    <w:p>
      <w:pPr>
        <w:pStyle w:val="ListParagraph"/>
        <w:tabs>
          <w:tab w:val="clear" w:pos="708"/>
          <w:tab w:val="left" w:pos="0" w:leader="none"/>
        </w:tabs>
        <w:spacing w:lineRule="auto" w:line="360" w:before="0" w:after="0"/>
        <w:ind w:left="0" w:firstLine="567"/>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Идея сконцентрировать информацию по вопросам поддержки педагогов и родителей детей с СДВГ на одном информационном ресурсе – сайте «Навигатор для педагогов и родителей детей с СДВГ» – появилась у специалистов ГБУ ДО ЦППМСП Выборгского района с момента начала работы РИП. Эту инициативу поддержало педагогическое и родительское сообщества, заинтересованные в получении помощи в работе и воспитании детей с СДВГ.</w:t>
      </w:r>
    </w:p>
    <w:p>
      <w:pPr>
        <w:pStyle w:val="Normal"/>
        <w:rPr>
          <w:lang w:val="en-US" w:eastAsia="en-US"/>
        </w:rPr>
      </w:pPr>
      <w:r>
        <w:rPr>
          <w:lang w:val="en-US" w:eastAsia="en-US"/>
        </w:rPr>
        <w:drawing>
          <wp:inline distT="0" distB="0" distL="0" distR="0">
            <wp:extent cx="5945505" cy="3240405"/>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3"/>
                    <a:srcRect l="-3" t="-5" r="-3" b="-5"/>
                    <a:stretch>
                      <a:fillRect/>
                    </a:stretch>
                  </pic:blipFill>
                  <pic:spPr bwMode="auto">
                    <a:xfrm>
                      <a:off x="0" y="0"/>
                      <a:ext cx="5945505" cy="3240405"/>
                    </a:xfrm>
                    <a:prstGeom prst="rect">
                      <a:avLst/>
                    </a:prstGeom>
                  </pic:spPr>
                </pic:pic>
              </a:graphicData>
            </a:graphic>
          </wp:inline>
        </w:drawing>
      </w:r>
    </w:p>
    <w:p>
      <w:pPr>
        <w:pStyle w:val="Normal"/>
        <w:jc w:val="right"/>
        <w:rPr>
          <w:lang w:val="en-US" w:eastAsia="en-US"/>
        </w:rPr>
      </w:pPr>
      <w:r>
        <w:rPr>
          <w:lang w:val="en-US" w:eastAsia="en-US"/>
        </w:rPr>
        <w:t>Рис. 1  Общий вид сайта-Навигатора</w:t>
      </w:r>
    </w:p>
    <w:p>
      <w:pPr>
        <w:pStyle w:val="Normal"/>
        <w:spacing w:lineRule="auto" w:line="360"/>
        <w:ind w:firstLine="709"/>
        <w:jc w:val="both"/>
        <w:rPr/>
      </w:pPr>
      <w:r>
        <w:rPr>
          <w:sz w:val="24"/>
          <w:szCs w:val="24"/>
          <w:lang w:val="en-US" w:eastAsia="en-US"/>
        </w:rPr>
        <w:t xml:space="preserve">Структура сайта </w:t>
      </w:r>
      <w:r>
        <w:rPr>
          <w:color w:val="000000"/>
          <w:sz w:val="24"/>
          <w:szCs w:val="24"/>
        </w:rPr>
        <w:t>«Навигатор для педагогов и родителей детей с СДВГ»</w:t>
      </w:r>
      <w:r>
        <w:rPr>
          <w:sz w:val="24"/>
          <w:szCs w:val="24"/>
          <w:lang w:val="en-US" w:eastAsia="en-US"/>
        </w:rPr>
        <w:t xml:space="preserve"> включает разделы: «Родителю» - содержит «Практические рекомендации для родителей по организации взаимодействия с детьми с СДВГ 7-14 лет к «Программе группового взаимодействия с обучающихся 7-14 лет (1-7 класс) с СДВГ и их родителями в образовательном процессе», памятки и буклеты. Все ссылки на документы кликабельны, документы доступны для скачивания.</w:t>
      </w:r>
    </w:p>
    <w:p>
      <w:pPr>
        <w:pStyle w:val="Normal"/>
        <w:rPr>
          <w:lang w:val="en-US" w:eastAsia="en-US"/>
        </w:rPr>
      </w:pPr>
      <w:r>
        <w:rPr>
          <w:lang w:val="en-US" w:eastAsia="en-US"/>
        </w:rPr>
        <w:drawing>
          <wp:inline distT="0" distB="0" distL="0" distR="0">
            <wp:extent cx="5633720" cy="373062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rcRect l="-3" t="-5" r="-3" b="-5"/>
                    <a:stretch>
                      <a:fillRect/>
                    </a:stretch>
                  </pic:blipFill>
                  <pic:spPr bwMode="auto">
                    <a:xfrm>
                      <a:off x="0" y="0"/>
                      <a:ext cx="5633720" cy="3730625"/>
                    </a:xfrm>
                    <a:prstGeom prst="rect">
                      <a:avLst/>
                    </a:prstGeom>
                  </pic:spPr>
                </pic:pic>
              </a:graphicData>
            </a:graphic>
          </wp:inline>
        </w:drawing>
      </w:r>
    </w:p>
    <w:p>
      <w:pPr>
        <w:pStyle w:val="Normal"/>
        <w:jc w:val="right"/>
        <w:rPr>
          <w:lang w:val="en-US" w:eastAsia="en-US"/>
        </w:rPr>
      </w:pPr>
      <w:r>
        <w:rPr>
          <w:lang w:val="en-US" w:eastAsia="en-US"/>
        </w:rPr>
        <w:t>Рис 2. Раздел «Родителю»</w:t>
      </w:r>
    </w:p>
    <w:p>
      <w:pPr>
        <w:pStyle w:val="Normal"/>
        <w:spacing w:lineRule="auto" w:line="360"/>
        <w:ind w:firstLine="709"/>
        <w:jc w:val="both"/>
        <w:rPr/>
      </w:pPr>
      <w:r>
        <w:rPr>
          <w:sz w:val="24"/>
          <w:szCs w:val="24"/>
          <w:lang w:val="en-US" w:eastAsia="en-US"/>
        </w:rPr>
        <w:t>Раздел «Педагогу» - включает в себя «Методические рекомендации для педагогов по организации мероприятий с обучающимися 7-14 лет (1-7 класс) с использованием техник развития дефицитарных функций к «Программе группового взаимодействия с обучающихся 7-14 лет (1-7 класс) с СДВГ и их родителями в образовательном процессе», Буклеты для работы с родителями, материалы по проектированию условий образовательного процесса для детей с СДВГ, а так же программы</w:t>
      </w:r>
      <w:r>
        <w:rPr>
          <w:sz w:val="24"/>
          <w:szCs w:val="24"/>
        </w:rPr>
        <w:t xml:space="preserve"> </w:t>
      </w:r>
      <w:r>
        <w:rPr>
          <w:sz w:val="24"/>
          <w:szCs w:val="24"/>
          <w:lang w:val="en-US" w:eastAsia="en-US"/>
        </w:rPr>
        <w:t>"Крепкая семья", "В мире эмоций", "Учимся, играя вместе" разработанные для коррекции дефицитарных функций детей с СДВГ с учетом вораста и мишений коррекции, опорные конспекты занятий.</w:t>
      </w:r>
    </w:p>
    <w:p>
      <w:pPr>
        <w:pStyle w:val="Normal"/>
        <w:jc w:val="both"/>
        <w:rPr>
          <w:lang w:val="en-US" w:eastAsia="en-US"/>
        </w:rPr>
      </w:pPr>
      <w:r>
        <w:rPr>
          <w:lang w:val="en-US" w:eastAsia="en-US"/>
        </w:rPr>
        <w:drawing>
          <wp:inline distT="0" distB="0" distL="0" distR="0">
            <wp:extent cx="5802630" cy="381825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5"/>
                    <a:srcRect l="-3" t="-5" r="-3" b="-5"/>
                    <a:stretch>
                      <a:fillRect/>
                    </a:stretch>
                  </pic:blipFill>
                  <pic:spPr bwMode="auto">
                    <a:xfrm>
                      <a:off x="0" y="0"/>
                      <a:ext cx="5802630" cy="3818255"/>
                    </a:xfrm>
                    <a:prstGeom prst="rect">
                      <a:avLst/>
                    </a:prstGeom>
                  </pic:spPr>
                </pic:pic>
              </a:graphicData>
            </a:graphic>
          </wp:inline>
        </w:drawing>
      </w:r>
    </w:p>
    <w:p>
      <w:pPr>
        <w:pStyle w:val="Normal"/>
        <w:jc w:val="both"/>
        <w:rPr>
          <w:lang w:val="en-US" w:eastAsia="en-US"/>
        </w:rPr>
      </w:pPr>
      <w:r>
        <w:rPr>
          <w:lang w:val="en-US" w:eastAsia="en-US"/>
        </w:rPr>
        <w:t>Рис 3. Раздел «Педагогу»</w:t>
      </w:r>
      <w:r>
        <w:rPr>
          <w:rFonts w:eastAsia="Calibri"/>
          <w:sz w:val="24"/>
          <w:szCs w:val="24"/>
          <w:lang w:val="en-US" w:eastAsia="en-US"/>
        </w:rPr>
        <w:t>«Обучение педагогов по программе экспериментальной площадки», «Инновационные продукты ГБУ ДО ЦППМСП».  В данном разделе выложены материалы программе повышения квалификации «Проектирование педагогических условий для преодоления синдрома дефицита внимания и гиперактивности у обучающихся в образовательном процессе».</w:t>
      </w:r>
    </w:p>
    <w:p>
      <w:pPr>
        <w:pStyle w:val="Heading2"/>
        <w:shd w:fill="FFFFFF" w:val="clear"/>
        <w:spacing w:before="0" w:after="240"/>
        <w:jc w:val="both"/>
        <w:textAlignment w:val="baseline"/>
        <w:rPr>
          <w:rFonts w:ascii="Calibri" w:hAnsi="Calibri" w:eastAsia="Calibri" w:cs="Calibri"/>
          <w:b/>
          <w:b/>
          <w:bCs/>
          <w:sz w:val="22"/>
          <w:szCs w:val="22"/>
          <w:lang w:val="en-US" w:eastAsia="en-US"/>
        </w:rPr>
      </w:pPr>
      <w:r>
        <w:rPr>
          <w:lang w:val="en-US" w:eastAsia="en-US"/>
        </w:rPr>
        <w:drawing>
          <wp:inline distT="0" distB="0" distL="0" distR="0">
            <wp:extent cx="4527550" cy="2881630"/>
            <wp:effectExtent l="0" t="0" r="0" b="0"/>
            <wp:docPr id="5"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
                    <pic:cNvPicPr>
                      <a:picLocks noChangeAspect="1" noChangeArrowheads="1"/>
                    </pic:cNvPicPr>
                  </pic:nvPicPr>
                  <pic:blipFill>
                    <a:blip r:embed="rId6"/>
                    <a:srcRect l="-3" t="-5" r="-3" b="-5"/>
                    <a:stretch>
                      <a:fillRect/>
                    </a:stretch>
                  </pic:blipFill>
                  <pic:spPr bwMode="auto">
                    <a:xfrm>
                      <a:off x="0" y="0"/>
                      <a:ext cx="4527550" cy="2881630"/>
                    </a:xfrm>
                    <a:prstGeom prst="rect">
                      <a:avLst/>
                    </a:prstGeom>
                  </pic:spPr>
                </pic:pic>
              </a:graphicData>
            </a:graphic>
          </wp:inline>
        </w:drawing>
      </w:r>
    </w:p>
    <w:p>
      <w:pPr>
        <w:pStyle w:val="Heading2"/>
        <w:shd w:fill="FFFFFF" w:val="clear"/>
        <w:spacing w:before="0" w:after="240"/>
        <w:jc w:val="right"/>
        <w:textAlignment w:val="baseline"/>
        <w:rPr>
          <w:rFonts w:ascii="Times New Roman" w:hAnsi="Times New Roman" w:eastAsia="Calibri" w:cs="Times New Roman"/>
          <w:color w:val="000000"/>
          <w:sz w:val="24"/>
          <w:szCs w:val="24"/>
          <w:lang w:val="en-US" w:eastAsia="en-US"/>
        </w:rPr>
      </w:pPr>
      <w:r>
        <w:rPr>
          <w:rFonts w:eastAsia="Calibri" w:cs="Times New Roman" w:ascii="Times New Roman" w:hAnsi="Times New Roman"/>
          <w:color w:val="000000"/>
          <w:sz w:val="24"/>
          <w:szCs w:val="24"/>
          <w:lang w:val="en-US" w:eastAsia="en-US"/>
        </w:rPr>
        <w:t>Рис 4. Раздел «Обучение педагогов»</w:t>
      </w:r>
    </w:p>
    <w:p>
      <w:pPr>
        <w:pStyle w:val="Normal"/>
        <w:rPr>
          <w:rFonts w:ascii="Times New Roman" w:hAnsi="Times New Roman" w:eastAsia="Calibri" w:cs="Times New Roman"/>
          <w:color w:val="000000"/>
          <w:sz w:val="24"/>
          <w:szCs w:val="24"/>
          <w:lang w:val="en-US" w:eastAsia="en-US"/>
        </w:rPr>
      </w:pPr>
      <w:r>
        <w:rPr>
          <w:rFonts w:eastAsia="Calibri" w:cs="Times New Roman"/>
          <w:color w:val="000000"/>
          <w:sz w:val="24"/>
          <w:szCs w:val="24"/>
          <w:lang w:val="en-US" w:eastAsia="en-US"/>
        </w:rPr>
      </w:r>
    </w:p>
    <w:p>
      <w:pPr>
        <w:pStyle w:val="Normal"/>
        <w:rPr>
          <w:rFonts w:eastAsia="Calibri"/>
        </w:rPr>
      </w:pPr>
      <w:r>
        <w:rPr>
          <w:rFonts w:eastAsia="Calibri"/>
        </w:rPr>
      </w:r>
    </w:p>
    <w:p>
      <w:pPr>
        <w:pStyle w:val="Heading2"/>
        <w:shd w:fill="FFFFFF" w:val="clear"/>
        <w:spacing w:before="0" w:after="240"/>
        <w:jc w:val="both"/>
        <w:textAlignment w:val="baseline"/>
        <w:rPr>
          <w:rFonts w:ascii="Times New Roman" w:hAnsi="Times New Roman" w:eastAsia="Calibri" w:cs="Times New Roman"/>
          <w:b/>
          <w:b/>
          <w:bCs/>
          <w:color w:val="000000"/>
          <w:sz w:val="24"/>
          <w:szCs w:val="24"/>
          <w:lang w:val="en-US" w:eastAsia="en-US"/>
        </w:rPr>
      </w:pPr>
      <w:r>
        <w:rPr>
          <w:rFonts w:cs="Times New Roman" w:ascii="Times New Roman" w:hAnsi="Times New Roman"/>
          <w:color w:val="000000"/>
          <w:sz w:val="24"/>
          <w:szCs w:val="24"/>
          <w:lang w:val="en-US" w:eastAsia="en-US"/>
        </w:rPr>
        <w:drawing>
          <wp:inline distT="0" distB="0" distL="0" distR="0">
            <wp:extent cx="4618355" cy="2962275"/>
            <wp:effectExtent l="0" t="0" r="0" b="0"/>
            <wp:docPr id="6"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
                    <pic:cNvPicPr>
                      <a:picLocks noChangeAspect="1" noChangeArrowheads="1"/>
                    </pic:cNvPicPr>
                  </pic:nvPicPr>
                  <pic:blipFill>
                    <a:blip r:embed="rId7"/>
                    <a:srcRect l="-3" t="-5" r="-3" b="-5"/>
                    <a:stretch>
                      <a:fillRect/>
                    </a:stretch>
                  </pic:blipFill>
                  <pic:spPr bwMode="auto">
                    <a:xfrm>
                      <a:off x="0" y="0"/>
                      <a:ext cx="4618355" cy="2962275"/>
                    </a:xfrm>
                    <a:prstGeom prst="rect">
                      <a:avLst/>
                    </a:prstGeom>
                  </pic:spPr>
                </pic:pic>
              </a:graphicData>
            </a:graphic>
          </wp:inline>
        </w:drawing>
      </w:r>
    </w:p>
    <w:p>
      <w:pPr>
        <w:pStyle w:val="Heading2"/>
        <w:shd w:fill="FFFFFF" w:val="clear"/>
        <w:spacing w:lineRule="auto" w:line="360" w:before="0" w:after="0"/>
        <w:ind w:firstLine="709"/>
        <w:jc w:val="right"/>
        <w:textAlignment w:val="baseline"/>
        <w:rPr>
          <w:rFonts w:ascii="Times New Roman" w:hAnsi="Times New Roman" w:eastAsia="Calibri" w:cs="Times New Roman"/>
          <w:b/>
          <w:b/>
          <w:bCs/>
          <w:color w:val="000000"/>
          <w:sz w:val="24"/>
          <w:szCs w:val="24"/>
          <w:lang w:val="en-US" w:eastAsia="en-US"/>
        </w:rPr>
      </w:pPr>
      <w:r>
        <w:rPr>
          <w:rFonts w:eastAsia="Calibri" w:cs="Times New Roman" w:ascii="Times New Roman" w:hAnsi="Times New Roman"/>
          <w:color w:val="000000"/>
          <w:sz w:val="24"/>
          <w:szCs w:val="24"/>
          <w:lang w:val="en-US" w:eastAsia="en-US"/>
        </w:rPr>
        <w:t>Рис 5. Раздел «Обучение педагогов, фотографии с занятий»</w:t>
      </w:r>
    </w:p>
    <w:p>
      <w:pPr>
        <w:pStyle w:val="Normal"/>
        <w:spacing w:lineRule="auto" w:line="360"/>
        <w:ind w:firstLine="709"/>
        <w:jc w:val="both"/>
        <w:rPr/>
      </w:pPr>
      <w:r>
        <w:rPr>
          <w:sz w:val="24"/>
          <w:szCs w:val="24"/>
          <w:lang w:val="en-US" w:eastAsia="en-US"/>
        </w:rPr>
        <w:t>Раздел «Инновационные продукты ГБУ ДО ЦППМСП» содержит материалы разработанные в рамках РИП по теме «</w:t>
      </w:r>
      <w:r>
        <w:rPr>
          <w:bCs/>
          <w:sz w:val="24"/>
          <w:szCs w:val="24"/>
          <w:lang w:val="en-US" w:eastAsia="en-US"/>
        </w:rPr>
        <w:t>Совершенствование уcловий организации и осуществления образовательного процесса для преодоления синдрома дефицита внимания и гиперактивности у обучающихся</w:t>
      </w:r>
      <w:r>
        <w:rPr>
          <w:sz w:val="24"/>
          <w:szCs w:val="24"/>
          <w:lang w:val="en-US" w:eastAsia="en-US"/>
        </w:rPr>
        <w:t>».</w:t>
      </w:r>
    </w:p>
    <w:p>
      <w:pPr>
        <w:pStyle w:val="Normal"/>
        <w:rPr>
          <w:sz w:val="24"/>
          <w:szCs w:val="24"/>
          <w:lang w:val="en-US" w:eastAsia="en-US"/>
        </w:rPr>
      </w:pPr>
      <w:r>
        <w:rPr>
          <w:sz w:val="24"/>
          <w:szCs w:val="24"/>
          <w:lang w:val="en-US" w:eastAsia="en-US"/>
        </w:rPr>
        <w:drawing>
          <wp:inline distT="0" distB="0" distL="0" distR="0">
            <wp:extent cx="5269230" cy="334264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
                    <pic:cNvPicPr>
                      <a:picLocks noChangeAspect="1" noChangeArrowheads="1"/>
                    </pic:cNvPicPr>
                  </pic:nvPicPr>
                  <pic:blipFill>
                    <a:blip r:embed="rId8"/>
                    <a:srcRect l="-3" t="-5" r="-3" b="-5"/>
                    <a:stretch>
                      <a:fillRect/>
                    </a:stretch>
                  </pic:blipFill>
                  <pic:spPr bwMode="auto">
                    <a:xfrm>
                      <a:off x="0" y="0"/>
                      <a:ext cx="5269230" cy="3342640"/>
                    </a:xfrm>
                    <a:prstGeom prst="rect">
                      <a:avLst/>
                    </a:prstGeom>
                  </pic:spPr>
                </pic:pic>
              </a:graphicData>
            </a:graphic>
          </wp:inline>
        </w:drawing>
      </w:r>
    </w:p>
    <w:p>
      <w:pPr>
        <w:pStyle w:val="Heading2"/>
        <w:shd w:fill="FFFFFF" w:val="clear"/>
        <w:spacing w:lineRule="auto" w:line="360" w:before="0" w:after="0"/>
        <w:ind w:firstLine="709"/>
        <w:jc w:val="both"/>
        <w:textAlignment w:val="baseline"/>
        <w:rPr>
          <w:rFonts w:ascii="Times New Roman" w:hAnsi="Times New Roman" w:eastAsia="Calibri" w:cs="Times New Roman"/>
          <w:b/>
          <w:b/>
          <w:bCs/>
          <w:color w:val="000000"/>
          <w:sz w:val="24"/>
          <w:szCs w:val="24"/>
          <w:lang w:val="en-US" w:eastAsia="en-US"/>
        </w:rPr>
      </w:pPr>
      <w:r>
        <w:rPr>
          <w:rFonts w:eastAsia="Calibri" w:cs="Times New Roman" w:ascii="Times New Roman" w:hAnsi="Times New Roman"/>
          <w:color w:val="000000"/>
          <w:sz w:val="24"/>
          <w:szCs w:val="24"/>
          <w:lang w:val="en-US" w:eastAsia="en-US"/>
        </w:rPr>
        <w:t>Рис 6. Раздел «Инновационные продукты ГБУ ДО ЦППМСП»</w:t>
      </w:r>
    </w:p>
    <w:p>
      <w:pPr>
        <w:pStyle w:val="Normal"/>
        <w:spacing w:lineRule="auto" w:line="360"/>
        <w:ind w:firstLine="709"/>
        <w:jc w:val="both"/>
        <w:rPr>
          <w:rFonts w:ascii="Times New Roman" w:hAnsi="Times New Roman" w:eastAsia="Calibri" w:cs="Times New Roman"/>
          <w:b/>
          <w:b/>
          <w:bCs/>
          <w:color w:val="000000"/>
          <w:sz w:val="24"/>
          <w:szCs w:val="24"/>
          <w:lang w:val="en-US" w:eastAsia="en-US"/>
        </w:rPr>
      </w:pPr>
      <w:r>
        <w:rPr>
          <w:rFonts w:eastAsia="Calibri" w:cs="Times New Roman"/>
          <w:b/>
          <w:bCs/>
          <w:color w:val="000000"/>
          <w:sz w:val="24"/>
          <w:szCs w:val="24"/>
          <w:lang w:val="en-US" w:eastAsia="en-US"/>
        </w:rPr>
      </w:r>
    </w:p>
    <w:p>
      <w:pPr>
        <w:pStyle w:val="Normal"/>
        <w:spacing w:lineRule="auto" w:line="360"/>
        <w:ind w:firstLine="709"/>
        <w:jc w:val="both"/>
        <w:rPr>
          <w:sz w:val="24"/>
          <w:szCs w:val="24"/>
          <w:lang w:val="en-US" w:eastAsia="en-US"/>
        </w:rPr>
      </w:pPr>
      <w:r>
        <w:rPr>
          <w:sz w:val="24"/>
          <w:szCs w:val="24"/>
          <w:lang w:val="en-US" w:eastAsia="en-US"/>
        </w:rPr>
        <w:t xml:space="preserve">Меню сайта эргономично, удобно и понятно современным пользователю. Для использования сайта </w:t>
      </w:r>
      <w:r>
        <w:rPr>
          <w:color w:val="000000"/>
          <w:sz w:val="24"/>
          <w:szCs w:val="24"/>
        </w:rPr>
        <w:t>«Навигатор для педагогов и родителей детей с СДВГ»</w:t>
      </w:r>
      <w:r>
        <w:rPr>
          <w:sz w:val="24"/>
          <w:szCs w:val="24"/>
          <w:lang w:val="en-US" w:eastAsia="en-US"/>
        </w:rPr>
        <w:t xml:space="preserve"> достаточно освоить систему поиска в интернет браузере. Для того чтобы перейдти в нужный раздел необходимо перейдти по ссылке в меню или нажать на кнопку перехода на главной странице сайта- </w:t>
      </w:r>
      <w:r>
        <w:rPr>
          <w:color w:val="000000"/>
          <w:sz w:val="24"/>
          <w:szCs w:val="24"/>
        </w:rPr>
        <w:t>«Навигатор для педагогов и родителей детей с СДВГ».</w:t>
      </w:r>
    </w:p>
    <w:p>
      <w:pPr>
        <w:pStyle w:val="Normal"/>
        <w:rPr>
          <w:sz w:val="24"/>
          <w:szCs w:val="24"/>
          <w:lang w:val="en-US" w:eastAsia="en-US"/>
        </w:rPr>
      </w:pPr>
      <w:r>
        <w:rPr>
          <w:sz w:val="24"/>
          <w:szCs w:val="24"/>
          <w:lang w:val="en-US" w:eastAsia="en-US"/>
        </w:rPr>
      </w:r>
    </w:p>
    <w:p>
      <w:pPr>
        <w:pStyle w:val="Normal"/>
        <w:rPr>
          <w:lang w:val="en-US" w:eastAsia="en-US"/>
        </w:rPr>
      </w:pPr>
      <w:r>
        <w:rPr>
          <w:lang w:val="en-US" w:eastAsia="en-US"/>
        </w:rPr>
        <w:drawing>
          <wp:inline distT="0" distB="0" distL="0" distR="0">
            <wp:extent cx="5334000" cy="2684145"/>
            <wp:effectExtent l="0" t="0" r="0" b="0"/>
            <wp:docPr id="8"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
                    <pic:cNvPicPr>
                      <a:picLocks noChangeAspect="1" noChangeArrowheads="1"/>
                    </pic:cNvPicPr>
                  </pic:nvPicPr>
                  <pic:blipFill>
                    <a:blip r:embed="rId9"/>
                    <a:srcRect l="-3" t="-5" r="-3" b="-5"/>
                    <a:stretch>
                      <a:fillRect/>
                    </a:stretch>
                  </pic:blipFill>
                  <pic:spPr bwMode="auto">
                    <a:xfrm>
                      <a:off x="0" y="0"/>
                      <a:ext cx="5334000" cy="2684145"/>
                    </a:xfrm>
                    <a:prstGeom prst="rect">
                      <a:avLst/>
                    </a:prstGeom>
                  </pic:spPr>
                </pic:pic>
              </a:graphicData>
            </a:graphic>
          </wp:inline>
        </w:drawing>
      </w:r>
    </w:p>
    <w:p>
      <w:pPr>
        <w:pStyle w:val="Normal"/>
        <w:jc w:val="right"/>
        <w:rPr>
          <w:lang w:val="en-US" w:eastAsia="en-US"/>
        </w:rPr>
      </w:pPr>
      <w:r>
        <w:rPr>
          <w:lang w:val="en-US" w:eastAsia="en-US"/>
        </w:rPr>
        <w:t xml:space="preserve">Рис </w:t>
      </w:r>
      <w:r>
        <w:rPr>
          <w:b/>
          <w:bCs/>
          <w:lang w:val="en-US" w:eastAsia="en-US"/>
        </w:rPr>
        <w:t>7</w:t>
      </w:r>
      <w:r>
        <w:rPr>
          <w:lang w:val="en-US" w:eastAsia="en-US"/>
        </w:rPr>
        <w:t>.</w:t>
      </w:r>
      <w:r>
        <w:rPr/>
        <w:t xml:space="preserve"> </w:t>
      </w:r>
      <w:r>
        <w:rPr>
          <w:lang w:val="en-US" w:eastAsia="en-US"/>
        </w:rPr>
        <w:t>Меню сайта-Навигатор</w:t>
      </w:r>
    </w:p>
    <w:p>
      <w:pPr>
        <w:pStyle w:val="Normal"/>
        <w:jc w:val="right"/>
        <w:rPr>
          <w:lang w:val="en-US" w:eastAsia="en-US"/>
        </w:rPr>
      </w:pPr>
      <w:r>
        <w:rPr>
          <w:lang w:val="en-US" w:eastAsia="en-US"/>
        </w:rPr>
      </w:r>
    </w:p>
    <w:p>
      <w:pPr>
        <w:pStyle w:val="ListParagraph"/>
        <w:tabs>
          <w:tab w:val="clear" w:pos="708"/>
          <w:tab w:val="left" w:pos="0" w:leader="none"/>
        </w:tabs>
        <w:spacing w:lineRule="auto" w:line="360" w:before="0" w:after="0"/>
        <w:ind w:left="0" w:firstLine="567"/>
        <w:contextualSpacing/>
        <w:jc w:val="both"/>
        <w:rPr>
          <w:rFonts w:ascii="Times New Roman" w:hAnsi="Times New Roman" w:eastAsia="Calibri" w:cs="Times New Roman"/>
          <w:sz w:val="24"/>
          <w:szCs w:val="24"/>
        </w:rPr>
      </w:pPr>
      <w:r>
        <w:rPr>
          <w:rFonts w:eastAsia="Calibri" w:cs="Times New Roman" w:ascii="Times New Roman" w:hAnsi="Times New Roman"/>
          <w:color w:val="000000"/>
          <w:sz w:val="24"/>
          <w:szCs w:val="24"/>
        </w:rPr>
        <w:t>Опыт показывает, что специалистами образовательных организаций сайт «Навигатор для педагогов и родителей детей с СДВГ»</w:t>
      </w:r>
      <w:r>
        <w:rPr>
          <w:rFonts w:eastAsia="Calibri" w:cs="Times New Roman" w:ascii="Times New Roman" w:hAnsi="Times New Roman"/>
          <w:sz w:val="24"/>
          <w:szCs w:val="24"/>
          <w:lang w:val="en-US" w:eastAsia="en-US"/>
        </w:rPr>
        <w:t xml:space="preserve"> </w:t>
      </w:r>
      <w:r>
        <w:rPr>
          <w:rFonts w:eastAsia="Calibri" w:cs="Times New Roman" w:ascii="Times New Roman" w:hAnsi="Times New Roman"/>
          <w:color w:val="000000"/>
          <w:sz w:val="24"/>
          <w:szCs w:val="24"/>
        </w:rPr>
        <w:t>используется для обеспечения информационно-методической поддержки педагогов по проблематике совершенствования условий организации и осуществления образовательного процесса для преодоления синдрома дефицита внимания и гиперактивности у обучающихся». Проведенный м</w:t>
      </w:r>
      <w:r>
        <w:rPr>
          <w:rFonts w:eastAsia="Calibri" w:cs="Times New Roman" w:ascii="Times New Roman" w:hAnsi="Times New Roman"/>
          <w:sz w:val="24"/>
          <w:szCs w:val="24"/>
        </w:rPr>
        <w:t xml:space="preserve">ониторинг востребованности материалов </w:t>
      </w:r>
      <w:bookmarkStart w:id="12" w:name="_Hlk60998825"/>
      <w:r>
        <w:rPr>
          <w:rFonts w:eastAsia="Calibri" w:cs="Times New Roman" w:ascii="Times New Roman" w:hAnsi="Times New Roman"/>
          <w:sz w:val="24"/>
          <w:szCs w:val="24"/>
        </w:rPr>
        <w:t xml:space="preserve">информационно-методического ресурса </w:t>
      </w:r>
      <w:bookmarkStart w:id="13" w:name="_Hlk60999270"/>
      <w:r>
        <w:rPr>
          <w:rFonts w:eastAsia="Calibri" w:cs="Times New Roman" w:ascii="Times New Roman" w:hAnsi="Times New Roman"/>
          <w:sz w:val="24"/>
          <w:szCs w:val="24"/>
        </w:rPr>
        <w:t xml:space="preserve">«Навигатор для педагогов и родителей детей с СДВГ» </w:t>
      </w:r>
      <w:bookmarkEnd w:id="12"/>
      <w:r>
        <w:rPr>
          <w:rFonts w:eastAsia="Calibri" w:cs="Times New Roman" w:ascii="Times New Roman" w:hAnsi="Times New Roman"/>
          <w:sz w:val="24"/>
          <w:szCs w:val="24"/>
        </w:rPr>
        <w:t xml:space="preserve">на сайте ГБУ ДО ЦППМСП </w:t>
      </w:r>
      <w:bookmarkEnd w:id="13"/>
      <w:r>
        <w:rPr>
          <w:rFonts w:eastAsia="Calibri" w:cs="Times New Roman" w:ascii="Times New Roman" w:hAnsi="Times New Roman"/>
          <w:sz w:val="24"/>
          <w:szCs w:val="24"/>
        </w:rPr>
        <w:t>показал постоянный рост востребованности информации, размещенной на указанном цифровом ресурсе.</w:t>
      </w:r>
    </w:p>
    <w:tbl>
      <w:tblPr>
        <w:tblW w:w="9474" w:type="dxa"/>
        <w:jc w:val="left"/>
        <w:tblInd w:w="-118" w:type="dxa"/>
        <w:tblLayout w:type="fixed"/>
        <w:tblCellMar>
          <w:top w:w="0" w:type="dxa"/>
          <w:left w:w="108" w:type="dxa"/>
          <w:bottom w:w="0" w:type="dxa"/>
          <w:right w:w="108" w:type="dxa"/>
        </w:tblCellMar>
      </w:tblPr>
      <w:tblGrid>
        <w:gridCol w:w="3510"/>
        <w:gridCol w:w="4111"/>
        <w:gridCol w:w="1853"/>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b/>
                <w:b/>
                <w:bCs/>
                <w:sz w:val="24"/>
                <w:szCs w:val="24"/>
                <w:lang w:eastAsia="en-US"/>
              </w:rPr>
            </w:pPr>
            <w:r>
              <w:rPr>
                <w:rFonts w:eastAsia="Calibri"/>
                <w:b/>
                <w:bCs/>
                <w:sz w:val="24"/>
                <w:szCs w:val="24"/>
                <w:lang w:eastAsia="en-US"/>
              </w:rPr>
              <w:t>Период ОЭР</w:t>
            </w:r>
          </w:p>
        </w:tc>
        <w:tc>
          <w:tcPr>
            <w:tcW w:w="4111"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b/>
                <w:b/>
                <w:bCs/>
                <w:sz w:val="24"/>
                <w:szCs w:val="24"/>
                <w:lang w:eastAsia="en-US"/>
              </w:rPr>
            </w:pPr>
            <w:r>
              <w:rPr>
                <w:rFonts w:eastAsia="Calibri"/>
                <w:b/>
                <w:bCs/>
                <w:sz w:val="24"/>
                <w:szCs w:val="24"/>
                <w:lang w:eastAsia="en-US"/>
              </w:rPr>
              <w:t xml:space="preserve">Количество обращений на сайте </w:t>
            </w:r>
          </w:p>
        </w:tc>
        <w:tc>
          <w:tcPr>
            <w:tcW w:w="1853"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b/>
                <w:b/>
                <w:bCs/>
                <w:sz w:val="24"/>
                <w:szCs w:val="24"/>
                <w:lang w:eastAsia="en-US"/>
              </w:rPr>
            </w:pPr>
            <w:r>
              <w:rPr>
                <w:rFonts w:eastAsia="Calibri"/>
                <w:b/>
                <w:bCs/>
                <w:sz w:val="24"/>
                <w:szCs w:val="24"/>
                <w:lang w:eastAsia="en-US"/>
              </w:rPr>
              <w:t>Год</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sz w:val="24"/>
                <w:szCs w:val="24"/>
                <w:lang w:eastAsia="en-US"/>
              </w:rPr>
            </w:pPr>
            <w:r>
              <w:rPr>
                <w:rFonts w:eastAsia="Calibri"/>
                <w:sz w:val="24"/>
                <w:szCs w:val="24"/>
                <w:lang w:eastAsia="en-US"/>
              </w:rPr>
              <w:t>Начало реализации ОЭР</w:t>
            </w:r>
          </w:p>
        </w:tc>
        <w:tc>
          <w:tcPr>
            <w:tcW w:w="4111"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sz w:val="24"/>
                <w:szCs w:val="24"/>
                <w:lang w:eastAsia="en-US"/>
              </w:rPr>
            </w:pPr>
            <w:r>
              <w:rPr>
                <w:rFonts w:eastAsia="Calibri"/>
                <w:sz w:val="24"/>
                <w:szCs w:val="24"/>
                <w:lang w:eastAsia="en-US"/>
              </w:rPr>
              <w:t>6442</w:t>
            </w:r>
          </w:p>
        </w:tc>
        <w:tc>
          <w:tcPr>
            <w:tcW w:w="1853"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sz w:val="24"/>
                <w:szCs w:val="24"/>
                <w:lang w:eastAsia="en-US"/>
              </w:rPr>
            </w:pPr>
            <w:r>
              <w:rPr>
                <w:rFonts w:eastAsia="Calibri"/>
                <w:sz w:val="24"/>
                <w:szCs w:val="24"/>
                <w:lang w:eastAsia="en-US"/>
              </w:rPr>
              <w:t>2018</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sz w:val="24"/>
                <w:szCs w:val="24"/>
                <w:lang w:eastAsia="en-US"/>
              </w:rPr>
            </w:pPr>
            <w:r>
              <w:rPr>
                <w:rFonts w:eastAsia="Calibri"/>
                <w:sz w:val="24"/>
                <w:szCs w:val="24"/>
                <w:lang w:eastAsia="en-US"/>
              </w:rPr>
              <w:t>Второй год реализации ОЭР</w:t>
            </w:r>
          </w:p>
        </w:tc>
        <w:tc>
          <w:tcPr>
            <w:tcW w:w="4111"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sz w:val="24"/>
                <w:szCs w:val="24"/>
                <w:lang w:eastAsia="en-US"/>
              </w:rPr>
            </w:pPr>
            <w:r>
              <w:rPr>
                <w:rFonts w:eastAsia="Calibri"/>
                <w:sz w:val="24"/>
                <w:szCs w:val="24"/>
                <w:lang w:eastAsia="en-US"/>
              </w:rPr>
              <w:t>7021</w:t>
            </w:r>
          </w:p>
        </w:tc>
        <w:tc>
          <w:tcPr>
            <w:tcW w:w="1853"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sz w:val="24"/>
                <w:szCs w:val="24"/>
                <w:lang w:eastAsia="en-US"/>
              </w:rPr>
            </w:pPr>
            <w:r>
              <w:rPr>
                <w:rFonts w:eastAsia="Calibri"/>
                <w:sz w:val="24"/>
                <w:szCs w:val="24"/>
                <w:lang w:eastAsia="en-US"/>
              </w:rPr>
              <w:t>2019</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szCs w:val="24"/>
                <w:lang w:eastAsia="en-US"/>
              </w:rPr>
            </w:pPr>
            <w:r>
              <w:rPr>
                <w:rFonts w:eastAsia="Calibri"/>
                <w:szCs w:val="24"/>
                <w:lang w:eastAsia="en-US"/>
              </w:rPr>
              <w:t>Третий год реализации ОЭР</w:t>
            </w:r>
          </w:p>
        </w:tc>
        <w:tc>
          <w:tcPr>
            <w:tcW w:w="4111"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szCs w:val="24"/>
                <w:lang w:eastAsia="en-US"/>
              </w:rPr>
            </w:pPr>
            <w:r>
              <w:rPr>
                <w:rFonts w:eastAsia="Calibri"/>
                <w:szCs w:val="24"/>
                <w:lang w:eastAsia="en-US"/>
              </w:rPr>
              <w:t>9609</w:t>
            </w:r>
          </w:p>
        </w:tc>
        <w:tc>
          <w:tcPr>
            <w:tcW w:w="1853" w:type="dxa"/>
            <w:tcBorders>
              <w:top w:val="single" w:sz="4" w:space="0" w:color="000000"/>
              <w:left w:val="single" w:sz="4" w:space="0" w:color="000000"/>
              <w:bottom w:val="single" w:sz="4" w:space="0" w:color="000000"/>
              <w:right w:val="single" w:sz="4" w:space="0" w:color="000000"/>
            </w:tcBorders>
          </w:tcPr>
          <w:p>
            <w:pPr>
              <w:pStyle w:val="Normal"/>
              <w:jc w:val="center"/>
              <w:rPr>
                <w:rFonts w:eastAsia="Calibri"/>
                <w:szCs w:val="24"/>
                <w:lang w:eastAsia="en-US"/>
              </w:rPr>
            </w:pPr>
            <w:r>
              <w:rPr>
                <w:rFonts w:eastAsia="Calibri"/>
                <w:szCs w:val="24"/>
                <w:lang w:eastAsia="en-US"/>
              </w:rPr>
              <w:t>2020</w:t>
            </w:r>
          </w:p>
        </w:tc>
      </w:tr>
    </w:tbl>
    <w:p>
      <w:pPr>
        <w:pStyle w:val="ListParagraph"/>
        <w:tabs>
          <w:tab w:val="clear" w:pos="708"/>
          <w:tab w:val="left" w:pos="0" w:leader="none"/>
        </w:tabs>
        <w:spacing w:lineRule="auto" w:line="360" w:before="0" w:after="0"/>
        <w:ind w:left="0" w:firstLine="567"/>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ListParagraph"/>
        <w:tabs>
          <w:tab w:val="clear" w:pos="708"/>
          <w:tab w:val="left" w:pos="0" w:leader="none"/>
        </w:tabs>
        <w:spacing w:lineRule="auto" w:line="360" w:before="0" w:after="0"/>
        <w:ind w:left="0" w:firstLine="567"/>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Наряду с этим, «Навигатор для педагогов и родителей детей с СДВГ»</w:t>
      </w:r>
      <w:r>
        <w:rPr>
          <w:sz w:val="24"/>
          <w:szCs w:val="24"/>
          <w:lang w:val="en-US" w:eastAsia="en-US"/>
        </w:rPr>
        <w:t xml:space="preserve"> </w:t>
      </w:r>
      <w:r>
        <w:rPr>
          <w:rFonts w:cs="Times New Roman" w:ascii="Times New Roman" w:hAnsi="Times New Roman"/>
          <w:color w:val="000000"/>
          <w:sz w:val="24"/>
          <w:szCs w:val="24"/>
        </w:rPr>
        <w:t>— это площадка для обмена опытом, обсуждения, получения своевременной методической поддержки педагогами образовательных организаций Выборгского района по названной тематике, а также для диссеминации педагогического опыта в сфере совершенствования условий организации и осуществления образовательного процесса для преодоления СДВГ у обучающихся [32].</w:t>
      </w:r>
    </w:p>
    <w:p>
      <w:pPr>
        <w:pStyle w:val="ListParagraph"/>
        <w:tabs>
          <w:tab w:val="clear" w:pos="708"/>
          <w:tab w:val="left" w:pos="0" w:leader="none"/>
        </w:tabs>
        <w:spacing w:lineRule="auto" w:line="360" w:before="0" w:after="0"/>
        <w:ind w:left="0" w:firstLine="567"/>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t>В настоящее время «Навигатор для педагогов и родителей детей с СДВГ»</w:t>
      </w:r>
      <w:r>
        <w:rPr>
          <w:sz w:val="24"/>
          <w:szCs w:val="24"/>
          <w:lang w:val="en-US" w:eastAsia="en-US"/>
        </w:rPr>
        <w:t xml:space="preserve"> </w:t>
      </w:r>
      <w:r>
        <w:rPr>
          <w:rFonts w:cs="Times New Roman" w:ascii="Times New Roman" w:hAnsi="Times New Roman"/>
          <w:color w:val="000000"/>
          <w:sz w:val="24"/>
          <w:szCs w:val="24"/>
        </w:rPr>
        <w:t xml:space="preserve">сформирован, как информационно-образовательный ресурс, который также обеспечивает доступ родителям (законным представителям) к современным научно-методическим материалам и позволяет получить информацию по специфике взаимодействия с детьми с СДВГ. Специалисты ГБУ ДО ЦППМСП Выборгского района Санкт-Петербурга продолжают работу по совершенствованию интерфейса «Навигатора», развивая его структуру и превращая в интерактивную цифровую площадку, позволяющую не только получать информацию, но организовывать взаимодействие, в том числе, в формате on-line образования. </w:t>
      </w:r>
    </w:p>
    <w:p>
      <w:pPr>
        <w:pStyle w:val="ListParagraph"/>
        <w:tabs>
          <w:tab w:val="clear" w:pos="708"/>
          <w:tab w:val="left" w:pos="0" w:leader="none"/>
        </w:tabs>
        <w:spacing w:lineRule="auto" w:line="360" w:before="0" w:after="0"/>
        <w:ind w:left="0" w:firstLine="567"/>
        <w:contextualSpacing/>
        <w:jc w:val="both"/>
        <w:rPr/>
      </w:pPr>
      <w:r>
        <w:rPr>
          <w:rFonts w:cs="Times New Roman" w:ascii="Times New Roman" w:hAnsi="Times New Roman"/>
          <w:color w:val="000000"/>
          <w:sz w:val="24"/>
          <w:szCs w:val="24"/>
        </w:rPr>
        <w:t>Таким образом, информационно-просветительский электронный ресурс «Навигатор для педагогов и родителей детей с СДВГ»</w:t>
      </w:r>
      <w:r>
        <w:rPr>
          <w:sz w:val="24"/>
          <w:szCs w:val="24"/>
          <w:lang w:val="en-US" w:eastAsia="en-US"/>
        </w:rPr>
        <w:t xml:space="preserve"> </w:t>
      </w:r>
      <w:r>
        <w:rPr>
          <w:rFonts w:cs="Times New Roman" w:ascii="Times New Roman" w:hAnsi="Times New Roman"/>
          <w:color w:val="000000"/>
          <w:sz w:val="24"/>
          <w:szCs w:val="24"/>
        </w:rPr>
        <w:t xml:space="preserve">является актуальным средством для научно-методического обеспечения деятельности педагогов образовательной организации по совершенствованию условий образовательного процесса для обучающихся с СДВГ и повышению их профессиональной компетентности в данной сфере и </w:t>
      </w:r>
      <w:r>
        <w:rPr>
          <w:rFonts w:cs="Times New Roman" w:ascii="Times New Roman" w:hAnsi="Times New Roman"/>
          <w:sz w:val="24"/>
          <w:szCs w:val="24"/>
        </w:rPr>
        <w:t>создает условия для увеличения количества педагогов, владеющих эффективными технологиями организации образовательного процесса для преодоления СДВГ у обучающихся; технологиями взаимодействия с родителями детей с СДВГ, готовых к диссеминации методического опыта в области ОЭР.</w:t>
      </w:r>
    </w:p>
    <w:p>
      <w:pPr>
        <w:pStyle w:val="ListParagraph"/>
        <w:tabs>
          <w:tab w:val="clear" w:pos="708"/>
          <w:tab w:val="left" w:pos="0" w:leader="none"/>
        </w:tabs>
        <w:spacing w:lineRule="auto" w:line="360" w:before="0" w:after="0"/>
        <w:ind w:left="0" w:firstLine="567"/>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ListParagraph"/>
        <w:tabs>
          <w:tab w:val="clear" w:pos="708"/>
          <w:tab w:val="left" w:pos="0" w:leader="none"/>
        </w:tabs>
        <w:spacing w:lineRule="auto" w:line="360" w:before="0" w:after="0"/>
        <w:ind w:left="0" w:firstLine="567"/>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08"/>
          <w:tab w:val="left" w:pos="720" w:leader="none"/>
        </w:tabs>
        <w:spacing w:lineRule="auto" w:line="357"/>
        <w:ind w:right="76" w:firstLine="540"/>
        <w:jc w:val="both"/>
        <w:rPr>
          <w:b/>
          <w:b/>
          <w:bCs/>
          <w:sz w:val="28"/>
          <w:szCs w:val="28"/>
        </w:rPr>
      </w:pPr>
      <w:r>
        <w:rPr>
          <w:b/>
          <w:bCs/>
          <w:sz w:val="28"/>
          <w:szCs w:val="28"/>
        </w:rPr>
        <w:t xml:space="preserve">Список литературы </w:t>
      </w:r>
    </w:p>
    <w:p>
      <w:pPr>
        <w:pStyle w:val="Style26"/>
        <w:numPr>
          <w:ilvl w:val="0"/>
          <w:numId w:val="20"/>
        </w:numPr>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rPr>
        <w:t xml:space="preserve">Аналитическая справка по результатам проведения мониторинга и аналитического обобщения опыта образовательных организаций в ракурсе создания условий организации и осуществления образовательного процесса для преодоления синдрома дефицита внимания и гиперактивности у обучающихся </w:t>
      </w:r>
      <w:hyperlink r:id="rId10">
        <w:r>
          <w:rPr>
            <w:rStyle w:val="InternetLink"/>
            <w:rFonts w:cs="Times New Roman" w:ascii="Times New Roman" w:hAnsi="Times New Roman"/>
            <w:sz w:val="24"/>
            <w:szCs w:val="24"/>
          </w:rPr>
          <w:t>http://эп.цппмсп-выборгский.рф/doc/products/analit%20spravka%20OER%202.pdf</w:t>
        </w:r>
      </w:hyperlink>
    </w:p>
    <w:p>
      <w:pPr>
        <w:pStyle w:val="Style26"/>
        <w:numPr>
          <w:ilvl w:val="0"/>
          <w:numId w:val="20"/>
        </w:numPr>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rPr>
        <w:t xml:space="preserve">Аналитическая справка Российский и международный опыт научных исследований по проблеме ОЭР </w:t>
      </w:r>
      <w:hyperlink r:id="rId11">
        <w:r>
          <w:rPr>
            <w:rStyle w:val="InternetLink"/>
            <w:rFonts w:cs="Times New Roman" w:ascii="Times New Roman" w:hAnsi="Times New Roman"/>
            <w:sz w:val="24"/>
            <w:szCs w:val="24"/>
          </w:rPr>
          <w:t>http://эп.цппмсп-выборгский.рф/doc/products/analit%20spravka%20OER%201.pdf</w:t>
        </w:r>
      </w:hyperlink>
    </w:p>
    <w:p>
      <w:pPr>
        <w:pStyle w:val="Style26"/>
        <w:numPr>
          <w:ilvl w:val="0"/>
          <w:numId w:val="20"/>
        </w:numPr>
        <w:tabs>
          <w:tab w:val="clear" w:pos="708"/>
          <w:tab w:val="left" w:pos="720" w:leader="none"/>
        </w:tabs>
        <w:spacing w:lineRule="auto" w:line="360" w:before="0" w:after="0"/>
        <w:ind w:left="0" w:firstLine="709"/>
        <w:contextualSpacing/>
        <w:jc w:val="both"/>
        <w:rPr>
          <w:rFonts w:ascii="Times New Roman" w:hAnsi="Times New Roman" w:cs="Times New Roman"/>
          <w:sz w:val="24"/>
          <w:szCs w:val="24"/>
        </w:rPr>
      </w:pPr>
      <w:r>
        <w:rPr>
          <w:rFonts w:eastAsia="PTSerif-Regular;MS Mincho" w:cs="Times New Roman" w:ascii="Times New Roman" w:hAnsi="Times New Roman"/>
          <w:sz w:val="24"/>
          <w:szCs w:val="24"/>
        </w:rPr>
        <w:t>Ананьев В.А. Практикум по психологии здоровья. Методическое пособие по первичной и специфической и неспецифической профилактике. – СПб.: Речь, 2007. – 320с.</w:t>
      </w:r>
    </w:p>
    <w:p>
      <w:pPr>
        <w:pStyle w:val="Style26"/>
        <w:numPr>
          <w:ilvl w:val="0"/>
          <w:numId w:val="20"/>
        </w:numPr>
        <w:tabs>
          <w:tab w:val="clear" w:pos="708"/>
          <w:tab w:val="left" w:pos="720" w:leader="none"/>
        </w:tabs>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rPr>
        <w:t>Брязгунов И.П., Касатикова Е.В. «Непоседливый ребёнок, или всё о гиперактивных детях». – М.: Изд-во Института психотерапии, 2009.</w:t>
      </w:r>
    </w:p>
    <w:p>
      <w:pPr>
        <w:pStyle w:val="Style26"/>
        <w:numPr>
          <w:ilvl w:val="0"/>
          <w:numId w:val="20"/>
        </w:numPr>
        <w:tabs>
          <w:tab w:val="clear" w:pos="708"/>
          <w:tab w:val="left" w:pos="720" w:leader="none"/>
        </w:tabs>
        <w:spacing w:lineRule="auto" w:line="360" w:before="0" w:after="0"/>
        <w:ind w:left="0" w:firstLine="709"/>
        <w:contextualSpacing/>
        <w:jc w:val="both"/>
        <w:rPr/>
      </w:pPr>
      <w:r>
        <w:rPr>
          <w:rFonts w:cs="Times New Roman" w:ascii="Times New Roman" w:hAnsi="Times New Roman"/>
          <w:sz w:val="24"/>
          <w:szCs w:val="24"/>
        </w:rPr>
        <w:t>Власова О.А. Валеолого-педагогическое сопровождение учащихся с синдромом дефицита внимания и гиперактивности: диссертация кандидата педагогических наук : 13.00.01 - Великий Новгород, 2012.- 181 с.: ил.</w:t>
      </w:r>
    </w:p>
    <w:p>
      <w:pPr>
        <w:pStyle w:val="Style26"/>
        <w:numPr>
          <w:ilvl w:val="0"/>
          <w:numId w:val="20"/>
        </w:numPr>
        <w:spacing w:lineRule="auto" w:line="360" w:before="0" w:after="0"/>
        <w:ind w:left="0" w:firstLine="709"/>
        <w:contextualSpacing/>
        <w:jc w:val="both"/>
        <w:rPr>
          <w:rFonts w:ascii="Times New Roman" w:hAnsi="Times New Roman" w:cs="Times New Roman"/>
          <w:color w:val="000000"/>
          <w:sz w:val="24"/>
          <w:szCs w:val="24"/>
        </w:rPr>
      </w:pPr>
      <w:r>
        <w:rPr>
          <w:rFonts w:cs="Times New Roman" w:ascii="Times New Roman" w:hAnsi="Times New Roman"/>
          <w:sz w:val="24"/>
          <w:szCs w:val="24"/>
        </w:rPr>
        <w:t>Винокур В. А. Балинтовские группы: история, технология, структура, границы и ресурсы. Учебное пособие, СПб, 2015]</w:t>
      </w:r>
    </w:p>
    <w:p>
      <w:pPr>
        <w:pStyle w:val="ListParagraph"/>
        <w:numPr>
          <w:ilvl w:val="0"/>
          <w:numId w:val="20"/>
        </w:numPr>
        <w:spacing w:lineRule="auto" w:line="360" w:before="0" w:after="0"/>
        <w:ind w:left="0" w:firstLine="709"/>
        <w:contextualSpacing/>
        <w:jc w:val="both"/>
        <w:rPr/>
      </w:pPr>
      <w:r>
        <w:rPr>
          <w:rFonts w:cs="Times New Roman" w:ascii="Times New Roman" w:hAnsi="Times New Roman"/>
          <w:color w:val="000000"/>
          <w:sz w:val="24"/>
          <w:szCs w:val="24"/>
        </w:rPr>
        <w:t>Гарбузов В.И. Нервные дети: Советы врача. Л.: Медицина, Ленинградское отделение, 1990. – 176 с.</w:t>
      </w:r>
    </w:p>
    <w:p>
      <w:pPr>
        <w:pStyle w:val="Style26"/>
        <w:numPr>
          <w:ilvl w:val="0"/>
          <w:numId w:val="20"/>
        </w:numPr>
        <w:shd w:fill="FFFFFF" w:val="clear"/>
        <w:spacing w:lineRule="auto" w:line="360" w:before="0" w:after="0"/>
        <w:ind w:left="0" w:firstLine="709"/>
        <w:contextualSpacing/>
        <w:jc w:val="both"/>
        <w:textAlignment w:val="top"/>
        <w:rPr>
          <w:rFonts w:ascii="Times New Roman" w:hAnsi="Times New Roman" w:cs="Times New Roman"/>
          <w:sz w:val="24"/>
          <w:szCs w:val="24"/>
        </w:rPr>
      </w:pPr>
      <w:r>
        <w:rPr>
          <w:rFonts w:cs="Times New Roman" w:ascii="Times New Roman" w:hAnsi="Times New Roman"/>
          <w:sz w:val="24"/>
          <w:szCs w:val="24"/>
        </w:rPr>
        <w:t>Заваденко Н. Н. Гиперактивность и дефицит внимания в детском возрасте: учеб.пособие для вузов / Н.Н. Заваденко. - 2-е изд., перераб. и доп. - Москва: Юрайт, 2018. - 274 с.</w:t>
      </w:r>
    </w:p>
    <w:p>
      <w:pPr>
        <w:pStyle w:val="Style26"/>
        <w:numPr>
          <w:ilvl w:val="0"/>
          <w:numId w:val="20"/>
        </w:numPr>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rPr>
        <w:t xml:space="preserve">Комплексная системная модель совершенствования условий организации и осуществления образовательного процесса, способствующая преодолению СДВГ у обучающихся, компенсации дефицитарных функций </w:t>
      </w:r>
      <w:hyperlink r:id="rId12">
        <w:r>
          <w:rPr>
            <w:rStyle w:val="InternetLink"/>
            <w:rFonts w:cs="Times New Roman" w:ascii="Times New Roman" w:hAnsi="Times New Roman"/>
            <w:sz w:val="24"/>
            <w:szCs w:val="24"/>
          </w:rPr>
          <w:t>http://эп.цппмсп-выборгский.рф/doc/products/tehnologia%20modeli%202.pdf</w:t>
        </w:r>
      </w:hyperlink>
    </w:p>
    <w:p>
      <w:pPr>
        <w:pStyle w:val="Style26"/>
        <w:numPr>
          <w:ilvl w:val="0"/>
          <w:numId w:val="20"/>
        </w:numPr>
        <w:spacing w:lineRule="auto" w:line="360" w:before="0" w:after="0"/>
        <w:ind w:left="0" w:firstLine="709"/>
        <w:contextualSpacing/>
        <w:jc w:val="both"/>
        <w:rPr/>
      </w:pPr>
      <w:r>
        <w:rPr>
          <w:rStyle w:val="12pt03"/>
          <w:rFonts w:cs="Times New Roman" w:ascii="Times New Roman" w:hAnsi="Times New Roman"/>
          <w:iCs/>
          <w:color w:val="000000"/>
          <w:sz w:val="24"/>
          <w:szCs w:val="24"/>
        </w:rPr>
        <w:t>Кулаков С.А. Супервизия в психотерапии. Учебное пособие для супервизоров и психотерапевтов – СПб., 2004.</w:t>
      </w:r>
    </w:p>
    <w:p>
      <w:pPr>
        <w:pStyle w:val="Style26"/>
        <w:numPr>
          <w:ilvl w:val="0"/>
          <w:numId w:val="20"/>
        </w:numPr>
        <w:tabs>
          <w:tab w:val="clear" w:pos="708"/>
          <w:tab w:val="left" w:pos="720" w:leader="none"/>
        </w:tabs>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rPr>
        <w:t>Лапина Е.В. Педагогическая концепция профессионально значимых ценностей педагога в системе повышения квалификации, Диссертация на соискание ученой степени доктора педагогических наук, Москва, 2020.</w:t>
      </w:r>
    </w:p>
    <w:p>
      <w:pPr>
        <w:pStyle w:val="Style26"/>
        <w:numPr>
          <w:ilvl w:val="0"/>
          <w:numId w:val="20"/>
        </w:numPr>
        <w:tabs>
          <w:tab w:val="clear" w:pos="708"/>
          <w:tab w:val="left" w:pos="851" w:leader="none"/>
        </w:tabs>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lang w:val="en-US"/>
        </w:rPr>
        <w:t>Монина Г. Б., Лютова-Робертс Е. К., Чутко Л. С. Гиперактивные дети: психолого-педагогическая Помощь. Монография. — СПб.: Речь, 2007. — 186 с.</w:t>
      </w:r>
    </w:p>
    <w:p>
      <w:pPr>
        <w:pStyle w:val="Style26"/>
        <w:numPr>
          <w:ilvl w:val="0"/>
          <w:numId w:val="20"/>
        </w:numPr>
        <w:spacing w:lineRule="auto" w:line="360" w:before="0" w:after="0"/>
        <w:ind w:left="0" w:firstLine="709"/>
        <w:contextualSpacing/>
        <w:jc w:val="both"/>
        <w:rPr/>
      </w:pPr>
      <w:r>
        <w:rPr>
          <w:rFonts w:cs="Times New Roman" w:ascii="Times New Roman" w:hAnsi="Times New Roman"/>
          <w:color w:val="000000"/>
          <w:sz w:val="24"/>
          <w:szCs w:val="24"/>
        </w:rPr>
        <w:t xml:space="preserve">Мониторинг экономики образования, НИУ ВШЭ – </w:t>
      </w:r>
      <w:hyperlink r:id="rId13">
        <w:r>
          <w:rPr>
            <w:rStyle w:val="InternetLink"/>
            <w:rFonts w:cs="Times New Roman" w:ascii="Times New Roman" w:hAnsi="Times New Roman"/>
            <w:sz w:val="24"/>
            <w:szCs w:val="24"/>
          </w:rPr>
          <w:t>https://memo.hse.ru/</w:t>
        </w:r>
      </w:hyperlink>
      <w:r>
        <w:rPr>
          <w:rFonts w:cs="Times New Roman" w:ascii="Times New Roman" w:hAnsi="Times New Roman"/>
          <w:color w:val="000000"/>
          <w:sz w:val="24"/>
          <w:szCs w:val="24"/>
        </w:rPr>
        <w:t>.</w:t>
      </w:r>
    </w:p>
    <w:p>
      <w:pPr>
        <w:pStyle w:val="Style26"/>
        <w:numPr>
          <w:ilvl w:val="0"/>
          <w:numId w:val="20"/>
        </w:numPr>
        <w:tabs>
          <w:tab w:val="clear" w:pos="708"/>
          <w:tab w:val="left" w:pos="851" w:leader="none"/>
        </w:tabs>
        <w:spacing w:lineRule="auto" w:line="360" w:before="0" w:after="0"/>
        <w:ind w:left="0" w:firstLine="709"/>
        <w:contextualSpacing/>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color w:val="000000"/>
          <w:sz w:val="24"/>
          <w:szCs w:val="24"/>
        </w:rPr>
        <w:t>НАВИГАТОР http://эп.цппмсп-выборгский.рф/index.html</w:t>
      </w:r>
    </w:p>
    <w:p>
      <w:pPr>
        <w:pStyle w:val="Style26"/>
        <w:numPr>
          <w:ilvl w:val="0"/>
          <w:numId w:val="20"/>
        </w:numPr>
        <w:tabs>
          <w:tab w:val="clear" w:pos="708"/>
          <w:tab w:val="left" w:pos="851" w:leader="none"/>
          <w:tab w:val="left" w:pos="993" w:leader="none"/>
          <w:tab w:val="left" w:pos="1560" w:leader="none"/>
        </w:tabs>
        <w:spacing w:lineRule="auto" w:line="360" w:before="0" w:after="0"/>
        <w:ind w:left="0" w:firstLine="709"/>
        <w:contextualSpacing/>
        <w:jc w:val="both"/>
        <w:rPr>
          <w:rFonts w:ascii="Times New Roman" w:hAnsi="Times New Roman" w:cs="Times New Roman"/>
          <w:bCs/>
          <w:spacing w:val="2"/>
          <w:sz w:val="24"/>
          <w:szCs w:val="24"/>
        </w:rPr>
      </w:pPr>
      <w:r>
        <w:rPr>
          <w:rFonts w:cs="Times New Roman" w:ascii="Times New Roman" w:hAnsi="Times New Roman"/>
          <w:sz w:val="24"/>
          <w:szCs w:val="24"/>
        </w:rPr>
        <w:t xml:space="preserve">Национальный проект «Образование» </w:t>
      </w:r>
      <w:hyperlink r:id="rId14">
        <w:r>
          <w:rPr>
            <w:rStyle w:val="InternetLink"/>
            <w:rFonts w:cs="Times New Roman" w:ascii="Times New Roman" w:hAnsi="Times New Roman"/>
            <w:sz w:val="24"/>
            <w:szCs w:val="24"/>
          </w:rPr>
          <w:t>https://edu.gov.ru/national-project</w:t>
        </w:r>
      </w:hyperlink>
    </w:p>
    <w:p>
      <w:pPr>
        <w:pStyle w:val="Style26"/>
        <w:numPr>
          <w:ilvl w:val="0"/>
          <w:numId w:val="20"/>
        </w:numPr>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rPr>
        <w:t>Поддержка и обучение родителей детей с синдромом дефицита внимания с гиперактивностью / О. Н. Боголюбова, М. В. Галимзянова, А. Н. Корнев, Е. А. Москвина, М. Б. Яковлева; под редакцией Р. Ж. Мухамедрахимова. - СПб.: Изд-во С.-Петерб. ун-та, 2009.-78 с.</w:t>
      </w:r>
    </w:p>
    <w:p>
      <w:pPr>
        <w:pStyle w:val="Style26"/>
        <w:numPr>
          <w:ilvl w:val="0"/>
          <w:numId w:val="20"/>
        </w:numPr>
        <w:tabs>
          <w:tab w:val="clear" w:pos="708"/>
          <w:tab w:val="left" w:pos="851" w:leader="none"/>
          <w:tab w:val="left" w:pos="993" w:leader="none"/>
          <w:tab w:val="left" w:pos="1560" w:leader="none"/>
        </w:tabs>
        <w:spacing w:lineRule="auto" w:line="360" w:before="0" w:after="0"/>
        <w:ind w:left="0" w:firstLine="709"/>
        <w:contextualSpacing/>
        <w:jc w:val="both"/>
        <w:rPr>
          <w:rFonts w:ascii="Times New Roman" w:hAnsi="Times New Roman" w:cs="Times New Roman"/>
          <w:bCs/>
          <w:spacing w:val="2"/>
          <w:sz w:val="24"/>
          <w:szCs w:val="24"/>
        </w:rPr>
      </w:pPr>
      <w:r>
        <w:rPr>
          <w:rFonts w:cs="Times New Roman" w:ascii="Times New Roman" w:hAnsi="Times New Roman"/>
          <w:sz w:val="24"/>
          <w:szCs w:val="24"/>
        </w:rPr>
        <w:t>Приказ Минтруда России от 18.10.2013 г. № 544н «Об утверждении профессионального стандарта педагога (педагогическая деятельность в сфере дошкольного, начального общего, основного общего, среднего общего образования) (воспитатель, учитель)»</w:t>
      </w:r>
    </w:p>
    <w:p>
      <w:pPr>
        <w:pStyle w:val="Style26"/>
        <w:numPr>
          <w:ilvl w:val="0"/>
          <w:numId w:val="20"/>
        </w:numPr>
        <w:tabs>
          <w:tab w:val="clear" w:pos="708"/>
          <w:tab w:val="left" w:pos="851" w:leader="none"/>
          <w:tab w:val="left" w:pos="993" w:leader="none"/>
          <w:tab w:val="left" w:pos="1560" w:leader="none"/>
        </w:tabs>
        <w:spacing w:lineRule="auto" w:line="360" w:before="0" w:after="0"/>
        <w:ind w:left="0" w:firstLine="709"/>
        <w:contextualSpacing/>
        <w:jc w:val="both"/>
        <w:rPr>
          <w:rFonts w:ascii="Times New Roman" w:hAnsi="Times New Roman" w:cs="Times New Roman"/>
          <w:bCs/>
          <w:spacing w:val="2"/>
          <w:sz w:val="24"/>
          <w:szCs w:val="24"/>
        </w:rPr>
      </w:pPr>
      <w:r>
        <w:rPr>
          <w:rFonts w:cs="Times New Roman" w:ascii="Times New Roman" w:hAnsi="Times New Roman"/>
          <w:sz w:val="24"/>
          <w:szCs w:val="24"/>
        </w:rPr>
        <w:t>Рабочая книга школьного психолога / И.В. Дубровина, М.К. Акимова, Е.М. Борисова и др.; Под ред. И.В. Дубровиной .—— М.: Просвещение, 1991.— 303 с5</w:t>
      </w:r>
    </w:p>
    <w:p>
      <w:pPr>
        <w:pStyle w:val="ListParagraph"/>
        <w:numPr>
          <w:ilvl w:val="0"/>
          <w:numId w:val="20"/>
        </w:numPr>
        <w:tabs>
          <w:tab w:val="clear" w:pos="708"/>
          <w:tab w:val="left" w:pos="348" w:leader="none"/>
        </w:tabs>
        <w:spacing w:lineRule="auto" w:line="360" w:before="0" w:after="0"/>
        <w:ind w:left="0" w:firstLine="709"/>
        <w:contextualSpacing/>
        <w:jc w:val="both"/>
        <w:rPr/>
      </w:pPr>
      <w:r>
        <w:rPr>
          <w:rFonts w:cs="Times New Roman" w:ascii="Times New Roman" w:hAnsi="Times New Roman"/>
          <w:bCs/>
          <w:sz w:val="24"/>
          <w:szCs w:val="24"/>
        </w:rPr>
        <w:t xml:space="preserve">Работа балинтовской группы </w:t>
      </w:r>
      <w:hyperlink r:id="rId15">
        <w:r>
          <w:rPr>
            <w:rStyle w:val="InternetLink"/>
            <w:rFonts w:cs="Times New Roman" w:ascii="Times New Roman" w:hAnsi="Times New Roman"/>
            <w:color w:val="0000FF"/>
            <w:sz w:val="24"/>
            <w:szCs w:val="24"/>
            <w:u w:val="single"/>
          </w:rPr>
          <w:t>http://www.xn----btbcfzgflvfabrih2eye.xn--p1ai/news/190925.html</w:t>
        </w:r>
      </w:hyperlink>
      <w:r>
        <w:rPr>
          <w:rFonts w:cs="Times New Roman" w:ascii="Times New Roman" w:hAnsi="Times New Roman"/>
          <w:bCs/>
          <w:sz w:val="24"/>
          <w:szCs w:val="24"/>
        </w:rPr>
        <w:t>,  (</w:t>
      </w:r>
      <w:hyperlink r:id="rId16">
        <w:r>
          <w:rPr>
            <w:rStyle w:val="InternetLink"/>
            <w:rFonts w:cs="Times New Roman" w:ascii="Times New Roman" w:hAnsi="Times New Roman"/>
            <w:color w:val="0000FF"/>
            <w:sz w:val="24"/>
            <w:szCs w:val="24"/>
            <w:u w:val="single"/>
          </w:rPr>
          <w:t>http://www.xn----btbcfzgflvfabrih2eye.xn--p1ai/news/191023.html</w:t>
        </w:r>
      </w:hyperlink>
      <w:r>
        <w:rPr>
          <w:rFonts w:cs="Times New Roman" w:ascii="Times New Roman" w:hAnsi="Times New Roman"/>
          <w:bCs/>
          <w:sz w:val="24"/>
          <w:szCs w:val="24"/>
        </w:rPr>
        <w:t>.</w:t>
      </w:r>
    </w:p>
    <w:p>
      <w:pPr>
        <w:pStyle w:val="Style26"/>
        <w:numPr>
          <w:ilvl w:val="0"/>
          <w:numId w:val="20"/>
        </w:numPr>
        <w:tabs>
          <w:tab w:val="clear" w:pos="708"/>
          <w:tab w:val="left" w:pos="720" w:leader="none"/>
        </w:tabs>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rPr>
        <w:t>Смирнова Е.О. Особенности современной детской субкультуры./ в сб. Культурно-исторический подход в современной психологии развития: достижения, проблемы, перспективы. Сборник тезисов участников шестой всероссийской научно-практической конференции по психологии развития, посвященной 80-летию со дня рождения профессора Л.Ф. Обуховой. / ред. И.В. Шаповаленко, Л.И. Эльконинова, Ю.А. Кочетова – М. : Издательство ФГБОУ ВО МГППУ, 2018. – 639 с.). С.41-42]</w:t>
      </w:r>
    </w:p>
    <w:p>
      <w:pPr>
        <w:pStyle w:val="Style26"/>
        <w:numPr>
          <w:ilvl w:val="0"/>
          <w:numId w:val="20"/>
        </w:numPr>
        <w:spacing w:lineRule="auto" w:line="360" w:before="0" w:after="0"/>
        <w:ind w:left="0" w:firstLine="709"/>
        <w:contextualSpacing/>
        <w:jc w:val="both"/>
        <w:rPr/>
      </w:pPr>
      <w:r>
        <w:rPr>
          <w:rFonts w:cs="Times New Roman" w:ascii="Times New Roman" w:hAnsi="Times New Roman"/>
          <w:sz w:val="24"/>
          <w:szCs w:val="24"/>
        </w:rPr>
        <w:t xml:space="preserve">Сиротюк А.Л. Синдром дефицита внимания с гиперактивностью. Диагностика, коррекция и практические рекомендации родителям и педагогам. — М.: ТЦ Сфера, 2002 — 128 с. </w:t>
      </w:r>
    </w:p>
    <w:p>
      <w:pPr>
        <w:pStyle w:val="Style26"/>
        <w:numPr>
          <w:ilvl w:val="0"/>
          <w:numId w:val="20"/>
        </w:numPr>
        <w:tabs>
          <w:tab w:val="clear" w:pos="708"/>
          <w:tab w:val="left" w:pos="720" w:leader="none"/>
        </w:tabs>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rPr>
        <w:t>Татарникова Л.Г. Педагогика здоровья: здоровьесберегающие образовательные технологии // «Международный журнал экспериментального образования». - 2016. - № 10-1</w:t>
      </w:r>
    </w:p>
    <w:p>
      <w:pPr>
        <w:pStyle w:val="Style26"/>
        <w:numPr>
          <w:ilvl w:val="0"/>
          <w:numId w:val="20"/>
        </w:numPr>
        <w:tabs>
          <w:tab w:val="clear" w:pos="708"/>
          <w:tab w:val="left" w:pos="993" w:leader="none"/>
        </w:tabs>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rPr>
        <w:t xml:space="preserve">Технология внедрения комплексной системной модели совершенствования условий организации и осуществления образовательного процесса, способствующих преодолению СДВГ у обучающихся, компенсации дефицитарных функций, и активному, свободному и мотивированному включению обучающихся в образовательный процесс </w:t>
      </w:r>
      <w:hyperlink r:id="rId17">
        <w:r>
          <w:rPr>
            <w:rStyle w:val="InternetLink"/>
            <w:rFonts w:cs="Times New Roman" w:ascii="Times New Roman" w:hAnsi="Times New Roman"/>
            <w:sz w:val="24"/>
            <w:szCs w:val="24"/>
          </w:rPr>
          <w:t>http://эп.цппмсп-выборгский.рф/doc/products/tehnologia%20modeli.pdf</w:t>
        </w:r>
      </w:hyperlink>
    </w:p>
    <w:p>
      <w:pPr>
        <w:pStyle w:val="Style26"/>
        <w:numPr>
          <w:ilvl w:val="0"/>
          <w:numId w:val="20"/>
        </w:numPr>
        <w:tabs>
          <w:tab w:val="clear" w:pos="708"/>
          <w:tab w:val="left" w:pos="720" w:leader="none"/>
        </w:tabs>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rPr>
        <w:t xml:space="preserve">Цыганкова Н.И., Воробей А.А., Бурдюг А.Ю., Буткевич А.Ю., Вершинина Ю.В., Пырьев Е.А. Пакет диагностики мишеней психолого-педагогической коррекции дефицитарных функций, эмоционально-волевых, личностных и поведенческих особенностей и педагогического компонента для разработки содержания индивидуальной программы обучения, технологий и методов, способствующих преодолению СДВГ у обучающихся  </w:t>
      </w:r>
      <w:hyperlink r:id="rId18">
        <w:r>
          <w:rPr>
            <w:rStyle w:val="InternetLink"/>
            <w:rFonts w:cs="Times New Roman" w:ascii="Times New Roman" w:hAnsi="Times New Roman"/>
            <w:sz w:val="24"/>
            <w:szCs w:val="24"/>
          </w:rPr>
          <w:t>http://эп.цппмсп-выборгский.рф/doc/products/190112_Paket_diagnostiki_mishenej_SDVG.pdf</w:t>
        </w:r>
      </w:hyperlink>
    </w:p>
    <w:p>
      <w:pPr>
        <w:pStyle w:val="Style26"/>
        <w:numPr>
          <w:ilvl w:val="0"/>
          <w:numId w:val="20"/>
        </w:numPr>
        <w:spacing w:lineRule="auto" w:line="360" w:before="0" w:after="0"/>
        <w:ind w:left="0" w:firstLine="709"/>
        <w:contextualSpacing/>
        <w:jc w:val="both"/>
        <w:rPr>
          <w:rFonts w:ascii="Times New Roman" w:hAnsi="Times New Roman" w:cs="Times New Roman"/>
          <w:sz w:val="24"/>
          <w:szCs w:val="24"/>
        </w:rPr>
      </w:pPr>
      <w:r>
        <w:rPr>
          <w:rFonts w:cs="Times New Roman" w:ascii="Times New Roman" w:hAnsi="Times New Roman"/>
          <w:sz w:val="24"/>
          <w:szCs w:val="24"/>
          <w:lang w:val="en-US"/>
        </w:rPr>
        <w:t xml:space="preserve">Цыганкова Н.И. Личность и межличностные отношения младших школьников с минимальной мозговой дисфункцией и синдромом дефицита внимания и гиперактивности. Диссертация на соискание ученой степени кандидата психологических наук. − СПб. − 2012, 194 с.] </w:t>
      </w:r>
    </w:p>
    <w:p>
      <w:pPr>
        <w:pStyle w:val="ListParagraph"/>
        <w:numPr>
          <w:ilvl w:val="0"/>
          <w:numId w:val="20"/>
        </w:numPr>
        <w:tabs>
          <w:tab w:val="clear" w:pos="708"/>
          <w:tab w:val="left" w:pos="348" w:leader="none"/>
        </w:tabs>
        <w:spacing w:lineRule="auto" w:line="360" w:before="0" w:after="0"/>
        <w:ind w:left="0" w:firstLine="709"/>
        <w:contextualSpacing/>
        <w:jc w:val="both"/>
        <w:rPr>
          <w:rFonts w:ascii="Times New Roman" w:hAnsi="Times New Roman" w:cs="Times New Roman"/>
          <w:bCs/>
          <w:sz w:val="24"/>
          <w:szCs w:val="24"/>
        </w:rPr>
      </w:pPr>
      <w:r>
        <w:rPr>
          <w:rFonts w:cs="Times New Roman" w:ascii="Times New Roman" w:hAnsi="Times New Roman"/>
          <w:sz w:val="24"/>
          <w:szCs w:val="24"/>
        </w:rPr>
        <w:t>Цыганкова Н.И., Завалишина Е.В. Опыт создания условий организации и осуществления образовательного процесса для преодоления синдрома дефицита внимания и гиперактивности у обучающихся. – Сборник материалов Российского форума «Педиатрия Санкт-Петербурга: опыт, инновация достижения», СПб. 2019. – 214 с. – с.194-201</w:t>
      </w:r>
    </w:p>
    <w:p>
      <w:pPr>
        <w:pStyle w:val="ListParagraph"/>
        <w:numPr>
          <w:ilvl w:val="0"/>
          <w:numId w:val="20"/>
        </w:numPr>
        <w:tabs>
          <w:tab w:val="clear" w:pos="708"/>
          <w:tab w:val="left" w:pos="348" w:leader="none"/>
        </w:tabs>
        <w:spacing w:lineRule="auto" w:line="360" w:before="0" w:after="0"/>
        <w:ind w:left="0" w:firstLine="709"/>
        <w:contextualSpacing/>
        <w:jc w:val="both"/>
        <w:rPr>
          <w:rFonts w:ascii="Times New Roman" w:hAnsi="Times New Roman" w:cs="Times New Roman"/>
          <w:bCs/>
          <w:sz w:val="24"/>
          <w:szCs w:val="24"/>
        </w:rPr>
      </w:pPr>
      <w:r>
        <w:rPr>
          <w:rFonts w:cs="Times New Roman" w:ascii="Times New Roman" w:hAnsi="Times New Roman"/>
          <w:sz w:val="24"/>
          <w:szCs w:val="24"/>
        </w:rPr>
        <w:t xml:space="preserve">Цыганкова Н.И. Гиперактивные дети: воспитательная практика и копинг-стили матерей. [Электронный ресурс] // Медицинская психология в России: электрон. науч. журн. 2011. </w:t>
      </w:r>
      <w:r>
        <w:rPr>
          <w:rFonts w:cs="Times New Roman" w:ascii="Times New Roman" w:hAnsi="Times New Roman"/>
          <w:sz w:val="24"/>
          <w:szCs w:val="24"/>
          <w:lang w:val="en-US"/>
        </w:rPr>
        <w:t>N</w:t>
      </w:r>
      <w:r>
        <w:rPr>
          <w:rFonts w:cs="Times New Roman" w:ascii="Times New Roman" w:hAnsi="Times New Roman"/>
          <w:sz w:val="24"/>
          <w:szCs w:val="24"/>
        </w:rPr>
        <w:t xml:space="preserve">3. </w:t>
      </w:r>
      <w:r>
        <w:rPr>
          <w:rFonts w:cs="Times New Roman" w:ascii="Times New Roman" w:hAnsi="Times New Roman"/>
          <w:sz w:val="24"/>
          <w:szCs w:val="24"/>
          <w:lang w:val="en-US"/>
        </w:rPr>
        <w:t>URL</w:t>
      </w:r>
      <w:r>
        <w:rPr>
          <w:rFonts w:cs="Times New Roman" w:ascii="Times New Roman" w:hAnsi="Times New Roman"/>
          <w:sz w:val="24"/>
          <w:szCs w:val="24"/>
        </w:rPr>
        <w:t xml:space="preserve">: </w:t>
      </w:r>
      <w:r>
        <w:rPr>
          <w:rFonts w:cs="Times New Roman" w:ascii="Times New Roman" w:hAnsi="Times New Roman"/>
          <w:sz w:val="24"/>
          <w:szCs w:val="24"/>
          <w:lang w:val="en-US"/>
        </w:rPr>
        <w:t>URL</w:t>
      </w:r>
      <w:r>
        <w:rPr>
          <w:rFonts w:cs="Times New Roman" w:ascii="Times New Roman" w:hAnsi="Times New Roman"/>
          <w:sz w:val="24"/>
          <w:szCs w:val="24"/>
        </w:rPr>
        <w:t xml:space="preserve">: </w:t>
      </w:r>
      <w:r>
        <w:rPr>
          <w:rFonts w:cs="Times New Roman" w:ascii="Times New Roman" w:hAnsi="Times New Roman"/>
          <w:sz w:val="24"/>
          <w:szCs w:val="24"/>
          <w:lang w:val="en-US"/>
        </w:rPr>
        <w:t>http</w:t>
      </w:r>
      <w:r>
        <w:rPr>
          <w:rFonts w:cs="Times New Roman" w:ascii="Times New Roman" w:hAnsi="Times New Roman"/>
          <w:sz w:val="24"/>
          <w:szCs w:val="24"/>
        </w:rPr>
        <w:t>://</w:t>
      </w:r>
      <w:r>
        <w:rPr>
          <w:rFonts w:cs="Times New Roman" w:ascii="Times New Roman" w:hAnsi="Times New Roman"/>
          <w:sz w:val="24"/>
          <w:szCs w:val="24"/>
          <w:lang w:val="en-US"/>
        </w:rPr>
        <w:t>www</w:t>
      </w:r>
      <w:r>
        <w:rPr>
          <w:rFonts w:cs="Times New Roman" w:ascii="Times New Roman" w:hAnsi="Times New Roman"/>
          <w:sz w:val="24"/>
          <w:szCs w:val="24"/>
        </w:rPr>
        <w:t>.</w:t>
      </w:r>
      <w:r>
        <w:rPr>
          <w:rFonts w:cs="Times New Roman" w:ascii="Times New Roman" w:hAnsi="Times New Roman"/>
          <w:sz w:val="24"/>
          <w:szCs w:val="24"/>
          <w:lang w:val="en-US"/>
        </w:rPr>
        <w:t>medpsy</w:t>
      </w:r>
      <w:r>
        <w:rPr>
          <w:rFonts w:cs="Times New Roman" w:ascii="Times New Roman" w:hAnsi="Times New Roman"/>
          <w:sz w:val="24"/>
          <w:szCs w:val="24"/>
        </w:rPr>
        <w:t>.</w:t>
      </w:r>
      <w:r>
        <w:rPr>
          <w:rFonts w:cs="Times New Roman" w:ascii="Times New Roman" w:hAnsi="Times New Roman"/>
          <w:sz w:val="24"/>
          <w:szCs w:val="24"/>
          <w:lang w:val="en-US"/>
        </w:rPr>
        <w:t>ru</w:t>
      </w:r>
      <w:r>
        <w:rPr>
          <w:rFonts w:cs="Times New Roman" w:ascii="Times New Roman" w:hAnsi="Times New Roman"/>
          <w:sz w:val="24"/>
          <w:szCs w:val="24"/>
        </w:rPr>
        <w:t>/</w:t>
      </w:r>
      <w:r>
        <w:rPr>
          <w:rFonts w:cs="Times New Roman" w:ascii="Times New Roman" w:hAnsi="Times New Roman"/>
          <w:sz w:val="24"/>
          <w:szCs w:val="24"/>
          <w:lang w:val="en-US"/>
        </w:rPr>
        <w:t>mprj</w:t>
      </w:r>
      <w:r>
        <w:rPr>
          <w:rFonts w:cs="Times New Roman" w:ascii="Times New Roman" w:hAnsi="Times New Roman"/>
          <w:sz w:val="24"/>
          <w:szCs w:val="24"/>
        </w:rPr>
        <w:t>/</w:t>
      </w:r>
      <w:r>
        <w:rPr>
          <w:rFonts w:cs="Times New Roman" w:ascii="Times New Roman" w:hAnsi="Times New Roman"/>
          <w:sz w:val="24"/>
          <w:szCs w:val="24"/>
          <w:lang w:val="en-US"/>
        </w:rPr>
        <w:t>archiv</w:t>
      </w:r>
      <w:r>
        <w:rPr>
          <w:rFonts w:cs="Times New Roman" w:ascii="Times New Roman" w:hAnsi="Times New Roman"/>
          <w:sz w:val="24"/>
          <w:szCs w:val="24"/>
        </w:rPr>
        <w:t>_</w:t>
      </w:r>
      <w:r>
        <w:rPr>
          <w:rFonts w:cs="Times New Roman" w:ascii="Times New Roman" w:hAnsi="Times New Roman"/>
          <w:sz w:val="24"/>
          <w:szCs w:val="24"/>
          <w:lang w:val="en-US"/>
        </w:rPr>
        <w:t>global</w:t>
      </w:r>
      <w:r>
        <w:rPr>
          <w:rFonts w:cs="Times New Roman" w:ascii="Times New Roman" w:hAnsi="Times New Roman"/>
          <w:sz w:val="24"/>
          <w:szCs w:val="24"/>
        </w:rPr>
        <w:t>/2011_3_8/</w:t>
      </w:r>
      <w:r>
        <w:rPr>
          <w:rFonts w:cs="Times New Roman" w:ascii="Times New Roman" w:hAnsi="Times New Roman"/>
          <w:sz w:val="24"/>
          <w:szCs w:val="24"/>
          <w:lang w:val="en-US"/>
        </w:rPr>
        <w:t>nomer</w:t>
      </w:r>
      <w:r>
        <w:rPr>
          <w:rFonts w:cs="Times New Roman" w:ascii="Times New Roman" w:hAnsi="Times New Roman"/>
          <w:sz w:val="24"/>
          <w:szCs w:val="24"/>
        </w:rPr>
        <w:t>/</w:t>
      </w:r>
      <w:r>
        <w:rPr>
          <w:rFonts w:cs="Times New Roman" w:ascii="Times New Roman" w:hAnsi="Times New Roman"/>
          <w:sz w:val="24"/>
          <w:szCs w:val="24"/>
          <w:lang w:val="en-US"/>
        </w:rPr>
        <w:t>nomer</w:t>
      </w:r>
      <w:r>
        <w:rPr>
          <w:rFonts w:cs="Times New Roman" w:ascii="Times New Roman" w:hAnsi="Times New Roman"/>
          <w:sz w:val="24"/>
          <w:szCs w:val="24"/>
        </w:rPr>
        <w:t>00.</w:t>
      </w:r>
      <w:r>
        <w:rPr>
          <w:rFonts w:cs="Times New Roman" w:ascii="Times New Roman" w:hAnsi="Times New Roman"/>
          <w:sz w:val="24"/>
          <w:szCs w:val="24"/>
          <w:lang w:val="en-US"/>
        </w:rPr>
        <w:t>php</w:t>
      </w:r>
      <w:r>
        <w:rPr>
          <w:rFonts w:cs="Times New Roman" w:ascii="Times New Roman" w:hAnsi="Times New Roman"/>
          <w:sz w:val="24"/>
          <w:szCs w:val="24"/>
        </w:rPr>
        <w:t xml:space="preserve"> </w:t>
      </w:r>
    </w:p>
    <w:p>
      <w:pPr>
        <w:pStyle w:val="ListParagraph"/>
        <w:numPr>
          <w:ilvl w:val="0"/>
          <w:numId w:val="20"/>
        </w:numPr>
        <w:tabs>
          <w:tab w:val="clear" w:pos="708"/>
          <w:tab w:val="left" w:pos="348" w:leader="none"/>
        </w:tabs>
        <w:spacing w:lineRule="auto" w:line="360" w:before="0" w:after="0"/>
        <w:ind w:left="0" w:firstLine="709"/>
        <w:contextualSpacing/>
        <w:jc w:val="both"/>
        <w:rPr>
          <w:rFonts w:ascii="Times New Roman" w:hAnsi="Times New Roman" w:cs="Times New Roman"/>
          <w:bCs/>
          <w:sz w:val="24"/>
          <w:szCs w:val="24"/>
        </w:rPr>
      </w:pPr>
      <w:r>
        <w:rPr>
          <w:rFonts w:cs="Times New Roman" w:ascii="Times New Roman" w:hAnsi="Times New Roman"/>
          <w:sz w:val="24"/>
          <w:szCs w:val="24"/>
        </w:rPr>
        <w:t>Чутко Л.С., Пальчик А.Б. Синдром дефицита внимания с гиперактивностью (причины, диагностика, лечение) – СПб. «Коста», 2012. -160</w:t>
      </w:r>
    </w:p>
    <w:p>
      <w:pPr>
        <w:pStyle w:val="ListParagraph"/>
        <w:numPr>
          <w:ilvl w:val="0"/>
          <w:numId w:val="20"/>
        </w:numPr>
        <w:tabs>
          <w:tab w:val="clear" w:pos="708"/>
          <w:tab w:val="left" w:pos="348" w:leader="none"/>
        </w:tabs>
        <w:spacing w:lineRule="auto" w:line="360" w:before="0" w:after="0"/>
        <w:ind w:left="0" w:firstLine="709"/>
        <w:contextualSpacing/>
        <w:jc w:val="both"/>
        <w:rPr>
          <w:rFonts w:ascii="Times New Roman" w:hAnsi="Times New Roman" w:cs="Times New Roman"/>
          <w:bCs/>
          <w:sz w:val="24"/>
          <w:szCs w:val="24"/>
        </w:rPr>
      </w:pPr>
      <w:r>
        <w:rPr>
          <w:rFonts w:cs="Times New Roman" w:ascii="Times New Roman" w:hAnsi="Times New Roman"/>
          <w:sz w:val="24"/>
          <w:szCs w:val="24"/>
        </w:rPr>
        <w:t>Чутко Л.С., Пальчик А.Б., Кропотов Ю.Д. Синдром нарушения внимания с гиперактивностью у детей и подростков. – СПб: Издательский дом СПб МАПО, 2004. – 112 с.</w:t>
      </w:r>
    </w:p>
    <w:p>
      <w:pPr>
        <w:pStyle w:val="ListParagraph"/>
        <w:numPr>
          <w:ilvl w:val="0"/>
          <w:numId w:val="20"/>
        </w:numPr>
        <w:tabs>
          <w:tab w:val="clear" w:pos="708"/>
          <w:tab w:val="left" w:pos="348" w:leader="none"/>
        </w:tabs>
        <w:spacing w:lineRule="auto" w:line="360" w:before="0" w:after="0"/>
        <w:ind w:left="0" w:firstLine="709"/>
        <w:contextualSpacing/>
        <w:jc w:val="both"/>
        <w:rPr>
          <w:rFonts w:ascii="Times New Roman" w:hAnsi="Times New Roman" w:cs="Times New Roman"/>
          <w:bCs/>
          <w:sz w:val="24"/>
          <w:szCs w:val="24"/>
        </w:rPr>
      </w:pPr>
      <w:r>
        <w:rPr>
          <w:rFonts w:cs="Times New Roman" w:ascii="Times New Roman" w:hAnsi="Times New Roman"/>
          <w:sz w:val="24"/>
          <w:szCs w:val="24"/>
        </w:rPr>
        <w:t>Эйдемиллер Э.Г., Добряков И.В., Никольская И.М. Семейный диагноз и семейная психотерапия: Учебное пособие для врачей и психологов. – СПб: Речь, 2003.</w:t>
      </w:r>
    </w:p>
    <w:p>
      <w:pPr>
        <w:pStyle w:val="ListParagraph"/>
        <w:numPr>
          <w:ilvl w:val="0"/>
          <w:numId w:val="20"/>
        </w:numPr>
        <w:tabs>
          <w:tab w:val="clear" w:pos="708"/>
          <w:tab w:val="left" w:pos="348" w:leader="none"/>
        </w:tabs>
        <w:spacing w:lineRule="auto" w:line="360" w:before="0" w:after="0"/>
        <w:ind w:left="0" w:firstLine="709"/>
        <w:contextualSpacing/>
        <w:jc w:val="both"/>
        <w:rPr>
          <w:rFonts w:ascii="Times New Roman" w:hAnsi="Times New Roman" w:cs="Times New Roman"/>
          <w:bCs/>
          <w:sz w:val="24"/>
          <w:szCs w:val="24"/>
        </w:rPr>
      </w:pPr>
      <w:r>
        <w:rPr>
          <w:rFonts w:cs="Times New Roman" w:ascii="Times New Roman" w:hAnsi="Times New Roman"/>
          <w:color w:val="000000"/>
          <w:sz w:val="24"/>
          <w:szCs w:val="24"/>
        </w:rPr>
        <w:t>Электронный ресурс https://futurerussia.gov.ru/cifrovaa-obrazovatelnaa-sredaРежим доступа свободный. - яз. рус.</w:t>
      </w:r>
    </w:p>
    <w:p>
      <w:pPr>
        <w:pStyle w:val="ListParagraph"/>
        <w:numPr>
          <w:ilvl w:val="0"/>
          <w:numId w:val="20"/>
        </w:numPr>
        <w:tabs>
          <w:tab w:val="clear" w:pos="708"/>
          <w:tab w:val="left" w:pos="348" w:leader="none"/>
        </w:tabs>
        <w:spacing w:lineRule="auto" w:line="360" w:before="0" w:after="0"/>
        <w:ind w:left="0" w:firstLine="709"/>
        <w:contextualSpacing/>
        <w:jc w:val="both"/>
        <w:rPr>
          <w:rFonts w:ascii="Times New Roman" w:hAnsi="Times New Roman" w:cs="Times New Roman"/>
          <w:bCs/>
          <w:sz w:val="24"/>
          <w:szCs w:val="24"/>
        </w:rPr>
      </w:pPr>
      <w:r>
        <w:rPr>
          <w:rFonts w:cs="Times New Roman" w:ascii="Times New Roman" w:hAnsi="Times New Roman"/>
          <w:color w:val="000000"/>
          <w:sz w:val="24"/>
          <w:szCs w:val="24"/>
        </w:rPr>
        <w:t>Электронный ресурс http://xn--o1a1a.xn----btbcfzgflvfabrih2eye.xn--p1ai/ Режим доступа свободный.- яз. рус.</w:t>
      </w:r>
    </w:p>
    <w:p>
      <w:pPr>
        <w:pStyle w:val="Normal"/>
        <w:spacing w:lineRule="auto" w:line="360"/>
        <w:ind w:firstLine="709"/>
        <w:jc w:val="both"/>
        <w:rPr>
          <w:rFonts w:ascii="Times New Roman" w:hAnsi="Times New Roman" w:cs="Times New Roman"/>
          <w:bCs/>
          <w:sz w:val="24"/>
          <w:szCs w:val="24"/>
        </w:rPr>
      </w:pPr>
      <w:r>
        <w:rPr>
          <w:rFonts w:cs="Times New Roman"/>
          <w:bCs/>
          <w:sz w:val="24"/>
          <w:szCs w:val="24"/>
        </w:rPr>
      </w:r>
    </w:p>
    <w:p>
      <w:pPr>
        <w:pStyle w:val="Normal"/>
        <w:tabs>
          <w:tab w:val="clear" w:pos="708"/>
          <w:tab w:val="left" w:pos="720" w:leader="none"/>
        </w:tabs>
        <w:spacing w:lineRule="auto" w:line="357"/>
        <w:ind w:right="76" w:firstLine="540"/>
        <w:jc w:val="both"/>
        <w:rPr>
          <w:b/>
          <w:b/>
          <w:bCs/>
          <w:sz w:val="28"/>
          <w:szCs w:val="28"/>
        </w:rPr>
      </w:pPr>
      <w:r>
        <w:rPr>
          <w:b/>
          <w:bCs/>
          <w:sz w:val="28"/>
          <w:szCs w:val="28"/>
        </w:rPr>
      </w:r>
    </w:p>
    <w:p>
      <w:pPr>
        <w:pStyle w:val="Normal"/>
        <w:tabs>
          <w:tab w:val="clear" w:pos="708"/>
          <w:tab w:val="left" w:pos="720" w:leader="none"/>
        </w:tabs>
        <w:spacing w:lineRule="auto" w:line="357"/>
        <w:ind w:right="76" w:firstLine="540"/>
        <w:jc w:val="right"/>
        <w:rPr>
          <w:b/>
          <w:b/>
          <w:bCs/>
          <w:sz w:val="24"/>
          <w:szCs w:val="28"/>
        </w:rPr>
      </w:pPr>
      <w:r>
        <w:rPr>
          <w:b/>
          <w:bCs/>
          <w:sz w:val="24"/>
          <w:szCs w:val="28"/>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hanging="0"/>
        <w:rPr>
          <w:sz w:val="24"/>
        </w:rPr>
      </w:pPr>
      <w:r>
        <w:rPr>
          <w:sz w:val="24"/>
        </w:rPr>
      </w:r>
    </w:p>
    <w:p>
      <w:pPr>
        <w:pStyle w:val="Normal"/>
        <w:tabs>
          <w:tab w:val="clear" w:pos="708"/>
          <w:tab w:val="left" w:pos="720" w:leader="none"/>
        </w:tabs>
        <w:spacing w:lineRule="auto" w:line="357"/>
        <w:ind w:right="76" w:firstLine="540"/>
        <w:jc w:val="right"/>
        <w:rPr>
          <w:sz w:val="24"/>
        </w:rPr>
      </w:pPr>
      <w:r>
        <w:rPr>
          <w:sz w:val="24"/>
        </w:rPr>
        <w:t xml:space="preserve">Приложение1. </w:t>
      </w:r>
    </w:p>
    <w:p>
      <w:pPr>
        <w:pStyle w:val="Normal"/>
        <w:tabs>
          <w:tab w:val="clear" w:pos="708"/>
          <w:tab w:val="left" w:pos="720" w:leader="none"/>
        </w:tabs>
        <w:spacing w:lineRule="auto" w:line="357"/>
        <w:ind w:right="76" w:firstLine="540"/>
        <w:jc w:val="right"/>
        <w:rPr>
          <w:sz w:val="24"/>
        </w:rPr>
      </w:pPr>
      <w:r>
        <w:rPr>
          <w:sz w:val="24"/>
        </w:rPr>
        <w:t>Положение о Балинтовской группе</w:t>
      </w:r>
    </w:p>
    <w:p>
      <w:pPr>
        <w:pStyle w:val="Normal"/>
        <w:tabs>
          <w:tab w:val="clear" w:pos="708"/>
          <w:tab w:val="left" w:pos="720" w:leader="none"/>
        </w:tabs>
        <w:spacing w:lineRule="auto" w:line="357"/>
        <w:ind w:right="76" w:firstLine="540"/>
        <w:jc w:val="right"/>
        <w:rPr>
          <w:sz w:val="24"/>
        </w:rPr>
      </w:pPr>
      <w:hyperlink r:id="rId19">
        <w:r>
          <w:rPr>
            <w:rStyle w:val="InternetLink"/>
            <w:sz w:val="24"/>
          </w:rPr>
          <w:t>https://цппмсп-выборгский.рф/doc/ПОЛОЖЕНИЕ%20-%20БАЛИНТОВСКАЯ.pdf</w:t>
        </w:r>
      </w:hyperlink>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both"/>
        <w:rPr>
          <w:sz w:val="24"/>
        </w:rPr>
      </w:pPr>
      <w:r>
        <w:rPr>
          <w:sz w:val="24"/>
        </w:rPr>
        <w:drawing>
          <wp:inline distT="0" distB="0" distL="0" distR="0">
            <wp:extent cx="3363595" cy="4766945"/>
            <wp:effectExtent l="0" t="0" r="0" b="0"/>
            <wp:docPr id="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descr=""/>
                    <pic:cNvPicPr>
                      <a:picLocks noChangeAspect="1" noChangeArrowheads="1"/>
                    </pic:cNvPicPr>
                  </pic:nvPicPr>
                  <pic:blipFill>
                    <a:blip r:embed="rId20"/>
                    <a:srcRect l="-8" t="-6" r="-8" b="-6"/>
                    <a:stretch>
                      <a:fillRect/>
                    </a:stretch>
                  </pic:blipFill>
                  <pic:spPr bwMode="auto">
                    <a:xfrm>
                      <a:off x="0" y="0"/>
                      <a:ext cx="3363595" cy="4766945"/>
                    </a:xfrm>
                    <a:prstGeom prst="rect">
                      <a:avLst/>
                    </a:prstGeom>
                  </pic:spPr>
                </pic:pic>
              </a:graphicData>
            </a:graphic>
          </wp:inline>
        </w:drawing>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t xml:space="preserve">Приложение 2 </w:t>
      </w:r>
    </w:p>
    <w:p>
      <w:pPr>
        <w:pStyle w:val="Normal"/>
        <w:tabs>
          <w:tab w:val="clear" w:pos="708"/>
          <w:tab w:val="left" w:pos="720" w:leader="none"/>
        </w:tabs>
        <w:spacing w:lineRule="auto" w:line="357"/>
        <w:ind w:right="76" w:firstLine="540"/>
        <w:jc w:val="right"/>
        <w:rPr>
          <w:rFonts w:eastAsia="Calibri"/>
          <w:sz w:val="24"/>
          <w:szCs w:val="24"/>
        </w:rPr>
      </w:pPr>
      <w:r>
        <w:rPr>
          <w:sz w:val="24"/>
        </w:rPr>
        <w:t xml:space="preserve">Положение об </w:t>
      </w:r>
      <w:r>
        <w:rPr>
          <w:rFonts w:eastAsia="Calibri"/>
          <w:sz w:val="24"/>
          <w:szCs w:val="24"/>
        </w:rPr>
        <w:t>информационно-методическом ресурсе «Навигатор для педагогов и родителей детей с СДВГ»</w:t>
      </w:r>
    </w:p>
    <w:p>
      <w:pPr>
        <w:pStyle w:val="Normal"/>
        <w:tabs>
          <w:tab w:val="clear" w:pos="708"/>
          <w:tab w:val="left" w:pos="720" w:leader="none"/>
        </w:tabs>
        <w:spacing w:lineRule="auto" w:line="357"/>
        <w:ind w:right="76" w:firstLine="540"/>
        <w:jc w:val="right"/>
        <w:rPr>
          <w:sz w:val="24"/>
        </w:rPr>
      </w:pPr>
      <w:hyperlink r:id="rId21">
        <w:r>
          <w:rPr>
            <w:rStyle w:val="InternetLink"/>
            <w:sz w:val="24"/>
          </w:rPr>
          <w:t>https://цппмсп-выборгский.рф/doc/EXPERIMENTAL_localacts_Pologenie_sourse_oer.pdf</w:t>
        </w:r>
      </w:hyperlink>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both"/>
        <w:rPr>
          <w:sz w:val="24"/>
        </w:rPr>
      </w:pPr>
      <w:r>
        <w:rPr>
          <w:sz w:val="24"/>
        </w:rPr>
        <w:drawing>
          <wp:inline distT="0" distB="0" distL="0" distR="0">
            <wp:extent cx="4084955" cy="5780405"/>
            <wp:effectExtent l="0" t="0" r="0" b="0"/>
            <wp:docPr id="1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pic:cNvPicPr>
                      <a:picLocks noChangeAspect="1" noChangeArrowheads="1"/>
                    </pic:cNvPicPr>
                  </pic:nvPicPr>
                  <pic:blipFill>
                    <a:blip r:embed="rId22"/>
                    <a:srcRect l="-8" t="-6" r="-8" b="-6"/>
                    <a:stretch>
                      <a:fillRect/>
                    </a:stretch>
                  </pic:blipFill>
                  <pic:spPr bwMode="auto">
                    <a:xfrm>
                      <a:off x="0" y="0"/>
                      <a:ext cx="4084955" cy="5780405"/>
                    </a:xfrm>
                    <a:prstGeom prst="rect">
                      <a:avLst/>
                    </a:prstGeom>
                  </pic:spPr>
                </pic:pic>
              </a:graphicData>
            </a:graphic>
          </wp:inline>
        </w:drawing>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r>
    </w:p>
    <w:p>
      <w:pPr>
        <w:pStyle w:val="Normal"/>
        <w:tabs>
          <w:tab w:val="clear" w:pos="708"/>
          <w:tab w:val="left" w:pos="720" w:leader="none"/>
        </w:tabs>
        <w:spacing w:lineRule="auto" w:line="357"/>
        <w:ind w:right="76" w:firstLine="540"/>
        <w:jc w:val="right"/>
        <w:rPr>
          <w:sz w:val="24"/>
        </w:rPr>
      </w:pPr>
      <w:r>
        <w:rPr>
          <w:sz w:val="24"/>
        </w:rPr>
        <w:t xml:space="preserve">Приложение 3 </w:t>
      </w:r>
    </w:p>
    <w:p>
      <w:pPr>
        <w:pStyle w:val="Normal"/>
        <w:tabs>
          <w:tab w:val="clear" w:pos="708"/>
          <w:tab w:val="left" w:pos="720" w:leader="none"/>
        </w:tabs>
        <w:spacing w:lineRule="auto" w:line="357"/>
        <w:ind w:right="76" w:firstLine="540"/>
        <w:jc w:val="right"/>
        <w:rPr>
          <w:sz w:val="24"/>
        </w:rPr>
      </w:pPr>
      <w:r>
        <w:rPr>
          <w:sz w:val="24"/>
        </w:rPr>
        <w:t>Программа АППО</w:t>
      </w:r>
    </w:p>
    <w:p>
      <w:pPr>
        <w:pStyle w:val="Normal"/>
        <w:tabs>
          <w:tab w:val="clear" w:pos="708"/>
          <w:tab w:val="left" w:pos="720" w:leader="none"/>
        </w:tabs>
        <w:spacing w:lineRule="auto" w:line="357"/>
        <w:ind w:right="76" w:firstLine="540"/>
        <w:jc w:val="right"/>
        <w:rPr>
          <w:sz w:val="24"/>
        </w:rPr>
      </w:pPr>
      <w:r>
        <w:rPr>
          <w:sz w:val="24"/>
        </w:rPr>
      </w:r>
    </w:p>
    <w:p>
      <w:pPr>
        <w:pStyle w:val="Normal"/>
        <w:jc w:val="center"/>
        <w:rPr>
          <w:rFonts w:eastAsia="Calibri"/>
          <w:color w:val="000000"/>
          <w:sz w:val="24"/>
          <w:szCs w:val="24"/>
          <w:lang w:eastAsia="en-US"/>
        </w:rPr>
      </w:pPr>
      <w:r>
        <w:rPr>
          <w:rFonts w:eastAsia="Calibri"/>
          <w:color w:val="000000"/>
          <w:sz w:val="24"/>
          <w:szCs w:val="24"/>
          <w:lang w:eastAsia="en-US"/>
        </w:rPr>
        <w:t>ПРАВИТЕЛЬСТВО САНКТ-ПЕТЕРБУРГА</w:t>
      </w:r>
    </w:p>
    <w:p>
      <w:pPr>
        <w:pStyle w:val="Normal"/>
        <w:jc w:val="center"/>
        <w:rPr>
          <w:rFonts w:eastAsia="Calibri"/>
          <w:color w:val="000000"/>
          <w:sz w:val="24"/>
          <w:szCs w:val="24"/>
          <w:lang w:eastAsia="en-US"/>
        </w:rPr>
      </w:pPr>
      <w:r>
        <w:rPr>
          <w:rFonts w:eastAsia="Calibri"/>
          <w:color w:val="000000"/>
          <w:sz w:val="24"/>
          <w:szCs w:val="24"/>
          <w:lang w:eastAsia="en-US"/>
        </w:rPr>
        <w:t>КОМИТЕТ ПО ОБРАЗОВАНИЮ</w:t>
      </w:r>
    </w:p>
    <w:p>
      <w:pPr>
        <w:pStyle w:val="Normal"/>
        <w:jc w:val="center"/>
        <w:rPr>
          <w:rFonts w:eastAsia="Calibri"/>
          <w:color w:val="000000"/>
          <w:sz w:val="24"/>
          <w:szCs w:val="24"/>
          <w:lang w:eastAsia="en-US"/>
        </w:rPr>
      </w:pPr>
      <w:r>
        <w:rPr>
          <w:rFonts w:eastAsia="Calibri"/>
          <w:color w:val="000000"/>
          <w:sz w:val="24"/>
          <w:szCs w:val="24"/>
          <w:lang w:eastAsia="en-US"/>
        </w:rPr>
      </w:r>
    </w:p>
    <w:p>
      <w:pPr>
        <w:pStyle w:val="Normal"/>
        <w:jc w:val="center"/>
        <w:rPr>
          <w:rFonts w:eastAsia="Calibri"/>
          <w:color w:val="000000"/>
          <w:spacing w:val="30"/>
          <w:sz w:val="24"/>
          <w:szCs w:val="24"/>
          <w:lang w:eastAsia="en-US"/>
        </w:rPr>
      </w:pPr>
      <w:r>
        <w:rPr>
          <w:rFonts w:eastAsia="Calibri"/>
          <w:color w:val="000000"/>
          <w:spacing w:val="30"/>
          <w:sz w:val="24"/>
          <w:szCs w:val="24"/>
          <w:lang w:eastAsia="en-US"/>
        </w:rPr>
        <w:t>САНКТ-ПЕТЕРБУРГСКАЯ АКАДЕМИЯ</w:t>
      </w:r>
    </w:p>
    <w:p>
      <w:pPr>
        <w:pStyle w:val="Normal"/>
        <w:jc w:val="center"/>
        <w:rPr>
          <w:rFonts w:eastAsia="Calibri"/>
          <w:color w:val="000000"/>
          <w:spacing w:val="30"/>
          <w:sz w:val="24"/>
          <w:szCs w:val="24"/>
          <w:lang w:eastAsia="en-US"/>
        </w:rPr>
      </w:pPr>
      <w:r>
        <w:rPr>
          <w:rFonts w:eastAsia="Calibri"/>
          <w:color w:val="000000"/>
          <w:spacing w:val="30"/>
          <w:sz w:val="24"/>
          <w:szCs w:val="24"/>
          <w:lang w:eastAsia="en-US"/>
        </w:rPr>
        <w:t>ПОСТДИПЛОМНОГО ПЕДАГОГИЧЕСКОГО ОБРАЗОВАНИЯ</w:t>
      </w:r>
    </w:p>
    <w:p>
      <w:pPr>
        <w:pStyle w:val="Normal"/>
        <w:tabs>
          <w:tab w:val="clear" w:pos="708"/>
          <w:tab w:val="left" w:pos="7513" w:leader="none"/>
        </w:tabs>
        <w:jc w:val="center"/>
        <w:rPr>
          <w:rFonts w:eastAsia="Calibri"/>
          <w:color w:val="000000"/>
          <w:spacing w:val="30"/>
          <w:sz w:val="24"/>
          <w:szCs w:val="24"/>
          <w:lang w:eastAsia="en-US"/>
        </w:rPr>
      </w:pPr>
      <w:r>
        <w:rPr>
          <w:rFonts w:eastAsia="Calibri"/>
          <w:color w:val="000000"/>
          <w:spacing w:val="30"/>
          <w:sz w:val="24"/>
          <w:szCs w:val="24"/>
          <w:lang w:eastAsia="en-US"/>
        </w:rPr>
      </w:r>
    </w:p>
    <w:p>
      <w:pPr>
        <w:pStyle w:val="Normal"/>
        <w:tabs>
          <w:tab w:val="clear" w:pos="708"/>
          <w:tab w:val="left" w:pos="7513" w:leader="none"/>
        </w:tabs>
        <w:jc w:val="center"/>
        <w:rPr>
          <w:rFonts w:eastAsia="Calibri"/>
          <w:color w:val="000000"/>
          <w:sz w:val="24"/>
          <w:szCs w:val="24"/>
          <w:lang w:eastAsia="en-US"/>
        </w:rPr>
      </w:pPr>
      <w:r>
        <w:rPr>
          <w:rFonts w:eastAsia="Calibri"/>
          <w:color w:val="000000"/>
          <w:sz w:val="24"/>
          <w:szCs w:val="24"/>
          <w:lang w:eastAsia="en-US"/>
        </w:rPr>
        <w:t>Институт детства</w:t>
      </w:r>
    </w:p>
    <w:p>
      <w:pPr>
        <w:pStyle w:val="Normal"/>
        <w:jc w:val="center"/>
        <w:rPr>
          <w:rFonts w:eastAsia="Calibri"/>
          <w:color w:val="000000"/>
          <w:sz w:val="24"/>
          <w:szCs w:val="24"/>
          <w:lang w:eastAsia="en-US"/>
        </w:rPr>
      </w:pPr>
      <w:r>
        <w:rPr>
          <w:rFonts w:eastAsia="Calibri"/>
          <w:color w:val="000000"/>
          <w:sz w:val="24"/>
          <w:szCs w:val="24"/>
          <w:lang w:eastAsia="en-US"/>
        </w:rPr>
        <w:t>Кафедра педагогики семьи</w:t>
      </w:r>
    </w:p>
    <w:p>
      <w:pPr>
        <w:pStyle w:val="Normal"/>
        <w:jc w:val="center"/>
        <w:rPr>
          <w:rFonts w:eastAsia="Calibri"/>
          <w:i/>
          <w:i/>
          <w:color w:val="000000"/>
          <w:sz w:val="18"/>
          <w:szCs w:val="18"/>
          <w:lang w:eastAsia="en-US"/>
        </w:rPr>
      </w:pPr>
      <w:r>
        <w:rPr>
          <w:rFonts w:eastAsia="Calibri"/>
          <w:i/>
          <w:color w:val="000000"/>
          <w:sz w:val="18"/>
          <w:szCs w:val="18"/>
          <w:lang w:eastAsia="en-US"/>
        </w:rPr>
      </w:r>
    </w:p>
    <w:tbl>
      <w:tblPr>
        <w:tblW w:w="9286" w:type="dxa"/>
        <w:jc w:val="left"/>
        <w:tblInd w:w="0" w:type="dxa"/>
        <w:tblLayout w:type="fixed"/>
        <w:tblCellMar>
          <w:top w:w="0" w:type="dxa"/>
          <w:left w:w="108" w:type="dxa"/>
          <w:bottom w:w="0" w:type="dxa"/>
          <w:right w:w="108" w:type="dxa"/>
        </w:tblCellMar>
      </w:tblPr>
      <w:tblGrid>
        <w:gridCol w:w="4219"/>
        <w:gridCol w:w="5067"/>
      </w:tblGrid>
      <w:tr>
        <w:trPr/>
        <w:tc>
          <w:tcPr>
            <w:tcW w:w="4219" w:type="dxa"/>
            <w:tcBorders/>
          </w:tcPr>
          <w:p>
            <w:pPr>
              <w:pStyle w:val="Normal"/>
              <w:keepNext w:val="true"/>
              <w:keepLines/>
              <w:numPr>
                <w:ilvl w:val="0"/>
                <w:numId w:val="0"/>
              </w:numPr>
              <w:jc w:val="center"/>
              <w:outlineLvl w:val="1"/>
              <w:rPr>
                <w:color w:val="000000"/>
                <w:sz w:val="24"/>
                <w:szCs w:val="24"/>
              </w:rPr>
            </w:pPr>
            <w:r>
              <w:rPr>
                <w:bCs/>
                <w:color w:val="000000"/>
                <w:sz w:val="24"/>
                <w:szCs w:val="24"/>
              </w:rPr>
              <w:t>«СОГЛАСОВАНО»</w:t>
            </w:r>
          </w:p>
        </w:tc>
        <w:tc>
          <w:tcPr>
            <w:tcW w:w="5067" w:type="dxa"/>
            <w:tcBorders/>
          </w:tcPr>
          <w:p>
            <w:pPr>
              <w:pStyle w:val="Normal"/>
              <w:tabs>
                <w:tab w:val="clear" w:pos="708"/>
                <w:tab w:val="left" w:pos="7513" w:leader="none"/>
              </w:tabs>
              <w:jc w:val="center"/>
              <w:rPr>
                <w:rFonts w:eastAsia="Calibri"/>
                <w:color w:val="000000"/>
                <w:sz w:val="24"/>
                <w:szCs w:val="24"/>
                <w:lang w:eastAsia="en-US"/>
              </w:rPr>
            </w:pPr>
            <w:r>
              <w:rPr>
                <w:rFonts w:eastAsia="Calibri"/>
                <w:color w:val="000000"/>
                <w:sz w:val="24"/>
                <w:szCs w:val="24"/>
                <w:lang w:eastAsia="en-US"/>
              </w:rPr>
              <w:t>«УТВЕРЖДАЮ»</w:t>
            </w:r>
          </w:p>
        </w:tc>
      </w:tr>
      <w:tr>
        <w:trPr/>
        <w:tc>
          <w:tcPr>
            <w:tcW w:w="4219" w:type="dxa"/>
            <w:tcBorders/>
          </w:tcPr>
          <w:p>
            <w:pPr>
              <w:pStyle w:val="Normal"/>
              <w:tabs>
                <w:tab w:val="clear" w:pos="708"/>
                <w:tab w:val="left" w:pos="7513" w:leader="none"/>
              </w:tabs>
              <w:jc w:val="center"/>
              <w:rPr>
                <w:rFonts w:eastAsia="Calibri"/>
                <w:color w:val="000000"/>
                <w:sz w:val="24"/>
                <w:szCs w:val="24"/>
                <w:lang w:eastAsia="en-US"/>
              </w:rPr>
            </w:pPr>
            <w:r>
              <w:rPr>
                <w:rFonts w:eastAsia="Calibri"/>
                <w:color w:val="000000"/>
                <w:sz w:val="24"/>
                <w:szCs w:val="24"/>
                <w:lang w:eastAsia="en-US"/>
              </w:rPr>
              <w:t>На заседании Ученого совета от «_____»___________ 2020 г.</w:t>
            </w:r>
          </w:p>
          <w:p>
            <w:pPr>
              <w:pStyle w:val="Normal"/>
              <w:tabs>
                <w:tab w:val="clear" w:pos="708"/>
                <w:tab w:val="left" w:pos="7513" w:leader="none"/>
              </w:tabs>
              <w:jc w:val="center"/>
              <w:rPr>
                <w:rFonts w:eastAsia="Calibri"/>
                <w:color w:val="000000"/>
                <w:sz w:val="24"/>
                <w:szCs w:val="24"/>
                <w:lang w:eastAsia="en-US"/>
              </w:rPr>
            </w:pPr>
            <w:r>
              <w:rPr>
                <w:rFonts w:eastAsia="Calibri"/>
                <w:color w:val="000000"/>
                <w:sz w:val="24"/>
                <w:szCs w:val="24"/>
                <w:lang w:eastAsia="en-US"/>
              </w:rPr>
              <w:t>Протокол № _______</w:t>
            </w:r>
          </w:p>
          <w:p>
            <w:pPr>
              <w:pStyle w:val="Normal"/>
              <w:tabs>
                <w:tab w:val="clear" w:pos="708"/>
                <w:tab w:val="left" w:pos="7513" w:leader="none"/>
              </w:tabs>
              <w:jc w:val="center"/>
              <w:rPr>
                <w:rFonts w:eastAsia="Calibri"/>
                <w:color w:val="000000"/>
                <w:sz w:val="24"/>
                <w:szCs w:val="24"/>
                <w:lang w:eastAsia="en-US"/>
              </w:rPr>
            </w:pPr>
            <w:r>
              <w:rPr>
                <w:rFonts w:eastAsia="Calibri"/>
                <w:color w:val="000000"/>
                <w:sz w:val="24"/>
                <w:szCs w:val="24"/>
                <w:lang w:eastAsia="en-US"/>
              </w:rPr>
            </w:r>
          </w:p>
        </w:tc>
        <w:tc>
          <w:tcPr>
            <w:tcW w:w="5067" w:type="dxa"/>
            <w:tcBorders/>
          </w:tcPr>
          <w:p>
            <w:pPr>
              <w:pStyle w:val="Normal"/>
              <w:keepNext w:val="true"/>
              <w:keepLines/>
              <w:numPr>
                <w:ilvl w:val="0"/>
                <w:numId w:val="0"/>
              </w:numPr>
              <w:jc w:val="center"/>
              <w:outlineLvl w:val="6"/>
              <w:rPr>
                <w:iCs/>
                <w:color w:val="000000"/>
                <w:sz w:val="24"/>
                <w:szCs w:val="24"/>
                <w:lang w:eastAsia="en-US"/>
              </w:rPr>
            </w:pPr>
            <w:r>
              <w:rPr>
                <w:iCs/>
                <w:color w:val="000000"/>
                <w:sz w:val="24"/>
                <w:szCs w:val="24"/>
                <w:lang w:eastAsia="en-US"/>
              </w:rPr>
              <w:t>Ректор ___________________С.В. Жолован</w:t>
            </w:r>
          </w:p>
          <w:p>
            <w:pPr>
              <w:pStyle w:val="Normal"/>
              <w:tabs>
                <w:tab w:val="clear" w:pos="708"/>
                <w:tab w:val="left" w:pos="7513" w:leader="none"/>
              </w:tabs>
              <w:jc w:val="center"/>
              <w:rPr>
                <w:rFonts w:eastAsia="Calibri"/>
                <w:iCs/>
                <w:color w:val="000000"/>
                <w:sz w:val="24"/>
                <w:szCs w:val="24"/>
                <w:lang w:eastAsia="en-US"/>
              </w:rPr>
            </w:pPr>
            <w:r>
              <w:rPr>
                <w:rFonts w:eastAsia="Calibri"/>
                <w:iCs/>
                <w:color w:val="000000"/>
                <w:sz w:val="24"/>
                <w:szCs w:val="24"/>
                <w:lang w:eastAsia="en-US"/>
              </w:rPr>
            </w:r>
          </w:p>
          <w:p>
            <w:pPr>
              <w:pStyle w:val="Normal"/>
              <w:tabs>
                <w:tab w:val="clear" w:pos="708"/>
                <w:tab w:val="left" w:pos="7513" w:leader="none"/>
              </w:tabs>
              <w:jc w:val="center"/>
              <w:rPr>
                <w:rFonts w:eastAsia="Calibri"/>
                <w:color w:val="000000"/>
                <w:sz w:val="24"/>
                <w:szCs w:val="24"/>
                <w:lang w:eastAsia="en-US"/>
              </w:rPr>
            </w:pPr>
            <w:r>
              <w:rPr>
                <w:rFonts w:eastAsia="Calibri"/>
                <w:color w:val="000000"/>
                <w:sz w:val="24"/>
                <w:szCs w:val="24"/>
                <w:lang w:eastAsia="en-US"/>
              </w:rPr>
              <w:t>«____»_______________2020 г.</w:t>
            </w:r>
          </w:p>
        </w:tc>
      </w:tr>
      <w:tr>
        <w:trPr/>
        <w:tc>
          <w:tcPr>
            <w:tcW w:w="4219" w:type="dxa"/>
            <w:tcBorders/>
          </w:tcPr>
          <w:p>
            <w:pPr>
              <w:pStyle w:val="Normal"/>
              <w:keepNext w:val="true"/>
              <w:keepLines/>
              <w:numPr>
                <w:ilvl w:val="0"/>
                <w:numId w:val="0"/>
              </w:numPr>
              <w:snapToGrid w:val="false"/>
              <w:ind w:firstLine="709"/>
              <w:jc w:val="both"/>
              <w:outlineLvl w:val="2"/>
              <w:rPr>
                <w:rFonts w:ascii="Calibri" w:hAnsi="Calibri" w:eastAsia="Calibri" w:cs="Calibri"/>
                <w:b/>
                <w:b/>
                <w:color w:val="000000"/>
                <w:sz w:val="28"/>
                <w:szCs w:val="24"/>
                <w:lang w:eastAsia="en-US"/>
              </w:rPr>
            </w:pPr>
            <w:r>
              <w:rPr>
                <w:rFonts w:eastAsia="Calibri" w:cs="Calibri" w:ascii="Calibri" w:hAnsi="Calibri"/>
                <w:b/>
                <w:color w:val="000000"/>
                <w:sz w:val="28"/>
                <w:szCs w:val="24"/>
                <w:lang w:eastAsia="en-US"/>
              </w:rPr>
            </w:r>
          </w:p>
        </w:tc>
        <w:tc>
          <w:tcPr>
            <w:tcW w:w="5067" w:type="dxa"/>
            <w:tcBorders/>
          </w:tcPr>
          <w:p>
            <w:pPr>
              <w:pStyle w:val="Normal"/>
              <w:tabs>
                <w:tab w:val="clear" w:pos="708"/>
                <w:tab w:val="left" w:pos="7513" w:leader="none"/>
              </w:tabs>
              <w:snapToGrid w:val="false"/>
              <w:jc w:val="center"/>
              <w:rPr>
                <w:rFonts w:eastAsia="Calibri"/>
                <w:b/>
                <w:b/>
                <w:color w:val="000000"/>
                <w:sz w:val="24"/>
                <w:szCs w:val="24"/>
                <w:lang w:eastAsia="en-US"/>
              </w:rPr>
            </w:pPr>
            <w:r>
              <w:rPr>
                <w:rFonts w:eastAsia="Calibri"/>
                <w:b/>
                <w:color w:val="000000"/>
                <w:sz w:val="24"/>
                <w:szCs w:val="24"/>
                <w:lang w:eastAsia="en-US"/>
              </w:rPr>
            </w:r>
          </w:p>
        </w:tc>
      </w:tr>
    </w:tbl>
    <w:p>
      <w:pPr>
        <w:pStyle w:val="Normal"/>
        <w:widowControl w:val="false"/>
        <w:numPr>
          <w:ilvl w:val="0"/>
          <w:numId w:val="0"/>
        </w:numPr>
        <w:jc w:val="both"/>
        <w:textAlignment w:val="baseline"/>
        <w:outlineLvl w:val="3"/>
        <w:rPr>
          <w:b/>
          <w:b/>
          <w:bCs/>
          <w:i/>
          <w:i/>
          <w:iCs/>
          <w:color w:val="000000"/>
          <w:sz w:val="24"/>
          <w:szCs w:val="24"/>
          <w:lang w:eastAsia="en-US"/>
        </w:rPr>
      </w:pPr>
      <w:r>
        <w:rPr>
          <w:b/>
          <w:bCs/>
          <w:i/>
          <w:iCs/>
          <w:color w:val="000000"/>
          <w:sz w:val="24"/>
          <w:szCs w:val="24"/>
          <w:lang w:eastAsia="en-US"/>
        </w:rPr>
      </w:r>
    </w:p>
    <w:p>
      <w:pPr>
        <w:pStyle w:val="Normal"/>
        <w:widowControl w:val="false"/>
        <w:numPr>
          <w:ilvl w:val="0"/>
          <w:numId w:val="0"/>
        </w:numPr>
        <w:jc w:val="center"/>
        <w:textAlignment w:val="baseline"/>
        <w:outlineLvl w:val="3"/>
        <w:rPr>
          <w:b/>
          <w:b/>
          <w:bCs/>
          <w:iCs/>
          <w:color w:val="000000"/>
          <w:sz w:val="24"/>
          <w:szCs w:val="24"/>
          <w:lang w:eastAsia="en-US"/>
        </w:rPr>
      </w:pPr>
      <w:r>
        <w:rPr>
          <w:b/>
          <w:bCs/>
          <w:iCs/>
          <w:color w:val="000000"/>
          <w:sz w:val="24"/>
          <w:szCs w:val="24"/>
          <w:lang w:eastAsia="en-US"/>
        </w:rPr>
        <w:t>ДОПОЛНИТЕЛЬНАЯ ПРОФЕССИОНАЛЬНАЯ ПРОГРАММА</w:t>
      </w:r>
    </w:p>
    <w:p>
      <w:pPr>
        <w:pStyle w:val="Normal"/>
        <w:jc w:val="center"/>
        <w:rPr>
          <w:rFonts w:eastAsia="Calibri"/>
          <w:b/>
          <w:b/>
          <w:color w:val="000000"/>
          <w:sz w:val="24"/>
          <w:szCs w:val="24"/>
          <w:lang w:eastAsia="en-US"/>
        </w:rPr>
      </w:pPr>
      <w:r>
        <w:rPr>
          <w:rFonts w:eastAsia="Calibri"/>
          <w:b/>
          <w:color w:val="000000"/>
          <w:sz w:val="24"/>
          <w:szCs w:val="24"/>
          <w:lang w:eastAsia="en-US"/>
        </w:rPr>
        <w:t xml:space="preserve">повышения квалификации </w:t>
      </w:r>
    </w:p>
    <w:p>
      <w:pPr>
        <w:pStyle w:val="Normal"/>
        <w:jc w:val="center"/>
        <w:rPr>
          <w:rFonts w:eastAsia="Calibri"/>
          <w:b/>
          <w:b/>
          <w:color w:val="000000"/>
          <w:sz w:val="24"/>
          <w:szCs w:val="24"/>
          <w:lang w:eastAsia="en-US"/>
        </w:rPr>
      </w:pPr>
      <w:r>
        <w:rPr>
          <w:rFonts w:eastAsia="Calibri"/>
          <w:b/>
          <w:color w:val="000000"/>
          <w:sz w:val="24"/>
          <w:szCs w:val="24"/>
          <w:lang w:eastAsia="en-US"/>
        </w:rPr>
      </w:r>
    </w:p>
    <w:p>
      <w:pPr>
        <w:pStyle w:val="Normal"/>
        <w:tabs>
          <w:tab w:val="clear" w:pos="708"/>
          <w:tab w:val="left" w:pos="7513" w:leader="none"/>
        </w:tabs>
        <w:jc w:val="center"/>
        <w:rPr/>
      </w:pPr>
      <w:r>
        <w:rPr>
          <w:rFonts w:eastAsia="Calibri"/>
          <w:b/>
          <w:sz w:val="24"/>
          <w:szCs w:val="24"/>
          <w:lang w:eastAsia="en-US"/>
        </w:rPr>
        <w:t>Проектирование педагогических условий для преодоления синдрома дефицита внимания и гиперактивности у обучающихся в образовательном процессе</w:t>
      </w:r>
      <w:r>
        <w:rPr>
          <w:rFonts w:eastAsia="Calibri"/>
          <w:b/>
          <w:color w:val="000000"/>
          <w:sz w:val="24"/>
          <w:szCs w:val="24"/>
          <w:lang w:eastAsia="en-US"/>
        </w:rPr>
        <w:t xml:space="preserve"> </w:t>
      </w:r>
    </w:p>
    <w:p>
      <w:pPr>
        <w:pStyle w:val="Normal"/>
        <w:tabs>
          <w:tab w:val="clear" w:pos="708"/>
          <w:tab w:val="left" w:pos="7513" w:leader="none"/>
        </w:tabs>
        <w:jc w:val="center"/>
        <w:rPr>
          <w:rFonts w:eastAsia="Calibri"/>
          <w:b/>
          <w:b/>
          <w:color w:val="000000"/>
          <w:sz w:val="24"/>
          <w:szCs w:val="24"/>
          <w:lang w:eastAsia="en-US"/>
        </w:rPr>
      </w:pPr>
      <w:r>
        <w:rPr>
          <w:rFonts w:eastAsia="Calibri"/>
          <w:b/>
          <w:color w:val="000000"/>
          <w:sz w:val="24"/>
          <w:szCs w:val="24"/>
          <w:lang w:eastAsia="en-US"/>
        </w:rPr>
      </w:r>
    </w:p>
    <w:p>
      <w:pPr>
        <w:pStyle w:val="Normal"/>
        <w:tabs>
          <w:tab w:val="clear" w:pos="708"/>
          <w:tab w:val="left" w:pos="7513" w:leader="none"/>
        </w:tabs>
        <w:jc w:val="center"/>
        <w:rPr>
          <w:rFonts w:eastAsia="Calibri"/>
          <w:b/>
          <w:b/>
          <w:color w:val="000000"/>
          <w:sz w:val="24"/>
          <w:lang w:eastAsia="en-US"/>
        </w:rPr>
      </w:pPr>
      <w:r>
        <w:rPr>
          <w:rFonts w:eastAsia="Calibri"/>
          <w:b/>
          <w:color w:val="000000"/>
          <w:sz w:val="24"/>
          <w:lang w:eastAsia="en-US"/>
        </w:rPr>
        <w:t xml:space="preserve">Наименование государственной услуги: </w:t>
      </w:r>
    </w:p>
    <w:p>
      <w:pPr>
        <w:pStyle w:val="Normal"/>
        <w:tabs>
          <w:tab w:val="clear" w:pos="708"/>
          <w:tab w:val="left" w:pos="7513" w:leader="none"/>
        </w:tabs>
        <w:jc w:val="both"/>
        <w:rPr>
          <w:rFonts w:eastAsia="Calibri"/>
          <w:color w:val="000000"/>
          <w:sz w:val="24"/>
          <w:szCs w:val="24"/>
          <w:lang w:eastAsia="en-US"/>
        </w:rPr>
      </w:pPr>
      <w:r>
        <w:rPr>
          <w:rFonts w:eastAsia="Calibri"/>
          <w:color w:val="000000"/>
          <w:lang w:eastAsia="en-US"/>
        </w:rPr>
        <w:t xml:space="preserve">Реализация дополнительной профессиональной программы повышения квалификации </w:t>
      </w:r>
      <w:r>
        <w:rPr>
          <w:rFonts w:eastAsia="Calibri"/>
          <w:lang w:eastAsia="en-US"/>
        </w:rPr>
        <w:t>в очной форме с применением дистанционных образовательных технологий и электронного обучения</w:t>
      </w:r>
    </w:p>
    <w:p>
      <w:pPr>
        <w:pStyle w:val="Normal"/>
        <w:autoSpaceDE w:val="false"/>
        <w:jc w:val="center"/>
        <w:rPr>
          <w:color w:val="000000"/>
          <w:sz w:val="20"/>
          <w:szCs w:val="20"/>
        </w:rPr>
      </w:pPr>
      <w:r>
        <w:rPr>
          <w:color w:val="000000"/>
          <w:sz w:val="20"/>
          <w:szCs w:val="20"/>
        </w:rPr>
        <w:t xml:space="preserve"> </w:t>
      </w:r>
      <w:r>
        <w:rPr>
          <w:color w:val="000000"/>
          <w:sz w:val="20"/>
          <w:szCs w:val="20"/>
        </w:rPr>
        <w:t>(108 часов, 25 слушателей, выпускная аттестационная работа)</w:t>
      </w:r>
    </w:p>
    <w:p>
      <w:pPr>
        <w:pStyle w:val="Normal"/>
        <w:tabs>
          <w:tab w:val="clear" w:pos="708"/>
          <w:tab w:val="left" w:pos="7513" w:leader="none"/>
        </w:tabs>
        <w:jc w:val="right"/>
        <w:rPr>
          <w:rFonts w:eastAsia="Calibri"/>
          <w:color w:val="000000"/>
          <w:sz w:val="24"/>
          <w:szCs w:val="20"/>
          <w:lang w:eastAsia="en-US"/>
        </w:rPr>
      </w:pPr>
      <w:r>
        <w:rPr>
          <w:rFonts w:eastAsia="Calibri"/>
          <w:color w:val="000000"/>
          <w:sz w:val="24"/>
          <w:szCs w:val="20"/>
          <w:lang w:eastAsia="en-US"/>
        </w:rPr>
      </w:r>
    </w:p>
    <w:p>
      <w:pPr>
        <w:pStyle w:val="Normal"/>
        <w:tabs>
          <w:tab w:val="clear" w:pos="708"/>
          <w:tab w:val="left" w:pos="7513" w:leader="none"/>
        </w:tabs>
        <w:rPr>
          <w:rFonts w:eastAsia="Calibri"/>
          <w:color w:val="000000"/>
          <w:sz w:val="24"/>
          <w:lang w:eastAsia="en-US"/>
        </w:rPr>
      </w:pPr>
      <w:r>
        <w:rPr>
          <w:rFonts w:eastAsia="Calibri"/>
          <w:color w:val="000000"/>
          <w:sz w:val="24"/>
          <w:lang w:eastAsia="en-US"/>
        </w:rPr>
      </w:r>
    </w:p>
    <w:p>
      <w:pPr>
        <w:pStyle w:val="Normal"/>
        <w:tabs>
          <w:tab w:val="clear" w:pos="708"/>
          <w:tab w:val="left" w:pos="7513" w:leader="none"/>
        </w:tabs>
        <w:jc w:val="center"/>
        <w:rPr>
          <w:rFonts w:eastAsia="Calibri"/>
          <w:b/>
          <w:b/>
          <w:color w:val="000000"/>
          <w:sz w:val="24"/>
          <w:lang w:eastAsia="en-US"/>
        </w:rPr>
      </w:pPr>
      <w:r>
        <w:rPr>
          <w:rFonts w:eastAsia="Calibri"/>
          <w:b/>
          <w:color w:val="000000"/>
          <w:sz w:val="24"/>
          <w:lang w:eastAsia="en-US"/>
        </w:rPr>
        <w:t>Авторский коллектив:</w:t>
      </w:r>
    </w:p>
    <w:p>
      <w:pPr>
        <w:pStyle w:val="Normal"/>
        <w:jc w:val="center"/>
        <w:rPr>
          <w:rFonts w:eastAsia="Calibri"/>
          <w:sz w:val="24"/>
          <w:szCs w:val="24"/>
          <w:lang w:eastAsia="zh-CN"/>
        </w:rPr>
      </w:pPr>
      <w:r>
        <w:rPr>
          <w:rFonts w:eastAsia="Calibri"/>
          <w:sz w:val="24"/>
          <w:szCs w:val="24"/>
          <w:lang w:eastAsia="zh-CN"/>
        </w:rPr>
        <w:t>Эрлих Олег Валерьевич, к.п.н., доцент, заведующий кафедрой педагогики семьи</w:t>
      </w:r>
    </w:p>
    <w:p>
      <w:pPr>
        <w:pStyle w:val="Normal"/>
        <w:jc w:val="center"/>
        <w:rPr>
          <w:rFonts w:eastAsia="Calibri"/>
          <w:sz w:val="24"/>
          <w:szCs w:val="24"/>
          <w:lang w:eastAsia="zh-CN"/>
        </w:rPr>
      </w:pPr>
      <w:r>
        <w:rPr>
          <w:rFonts w:eastAsia="Calibri"/>
          <w:sz w:val="24"/>
          <w:szCs w:val="24"/>
          <w:lang w:eastAsia="zh-CN"/>
        </w:rPr>
        <w:t>Цыганкова Наталия Игоревна, к.психол.н., доцент кафедры педагогики семьи</w:t>
      </w:r>
    </w:p>
    <w:p>
      <w:pPr>
        <w:pStyle w:val="Normal"/>
        <w:jc w:val="center"/>
        <w:rPr>
          <w:rFonts w:eastAsia="Calibri"/>
          <w:sz w:val="24"/>
          <w:szCs w:val="24"/>
          <w:lang w:eastAsia="zh-CN"/>
        </w:rPr>
      </w:pPr>
      <w:r>
        <w:rPr>
          <w:rFonts w:eastAsia="Calibri"/>
          <w:sz w:val="24"/>
          <w:szCs w:val="24"/>
          <w:lang w:eastAsia="zh-CN"/>
        </w:rPr>
        <w:t>Попова Антонина Васильевна, преподаватель кафедры педагогики семьи</w:t>
      </w:r>
    </w:p>
    <w:p>
      <w:pPr>
        <w:pStyle w:val="Normal"/>
        <w:tabs>
          <w:tab w:val="clear" w:pos="708"/>
          <w:tab w:val="left" w:pos="7513" w:leader="none"/>
        </w:tabs>
        <w:rPr>
          <w:rFonts w:eastAsia="Calibri"/>
          <w:color w:val="000000"/>
          <w:sz w:val="24"/>
          <w:szCs w:val="24"/>
          <w:lang w:eastAsia="en-US"/>
        </w:rPr>
      </w:pPr>
      <w:r>
        <w:rPr>
          <w:rFonts w:eastAsia="Calibri"/>
          <w:color w:val="000000"/>
          <w:sz w:val="24"/>
          <w:szCs w:val="24"/>
          <w:lang w:eastAsia="en-US"/>
        </w:rPr>
      </w:r>
    </w:p>
    <w:p>
      <w:pPr>
        <w:pStyle w:val="Normal"/>
        <w:tabs>
          <w:tab w:val="clear" w:pos="708"/>
          <w:tab w:val="left" w:pos="7513" w:leader="none"/>
        </w:tabs>
        <w:rPr>
          <w:rFonts w:eastAsia="Calibri"/>
          <w:color w:val="000000"/>
          <w:sz w:val="24"/>
          <w:lang w:eastAsia="en-US"/>
        </w:rPr>
      </w:pPr>
      <w:r>
        <w:rPr>
          <w:rFonts w:eastAsia="Calibri"/>
          <w:color w:val="000000"/>
          <w:sz w:val="24"/>
          <w:lang w:eastAsia="en-US"/>
        </w:rPr>
      </w:r>
    </w:p>
    <w:p>
      <w:pPr>
        <w:pStyle w:val="Normal"/>
        <w:tabs>
          <w:tab w:val="clear" w:pos="708"/>
          <w:tab w:val="left" w:pos="7513" w:leader="none"/>
        </w:tabs>
        <w:rPr>
          <w:rFonts w:eastAsia="Calibri"/>
          <w:color w:val="000000"/>
          <w:sz w:val="24"/>
          <w:lang w:eastAsia="en-US"/>
        </w:rPr>
      </w:pPr>
      <w:r>
        <w:rPr>
          <w:rFonts w:eastAsia="Calibri"/>
          <w:color w:val="000000"/>
          <w:sz w:val="24"/>
          <w:lang w:eastAsia="en-US"/>
        </w:rPr>
      </w:r>
    </w:p>
    <w:p>
      <w:pPr>
        <w:pStyle w:val="Normal"/>
        <w:tabs>
          <w:tab w:val="clear" w:pos="708"/>
          <w:tab w:val="left" w:pos="7513" w:leader="none"/>
        </w:tabs>
        <w:jc w:val="center"/>
        <w:rPr>
          <w:rFonts w:eastAsia="Calibri"/>
          <w:b/>
          <w:b/>
          <w:color w:val="000000"/>
          <w:sz w:val="24"/>
          <w:lang w:eastAsia="en-US"/>
        </w:rPr>
      </w:pPr>
      <w:r>
        <w:rPr>
          <w:rFonts w:eastAsia="Calibri"/>
          <w:b/>
          <w:color w:val="000000"/>
          <w:sz w:val="24"/>
          <w:lang w:eastAsia="en-US"/>
        </w:rPr>
        <w:t>Эксперты, проводившие внутриакадемическую экспертизу программы:</w:t>
      </w:r>
    </w:p>
    <w:p>
      <w:pPr>
        <w:pStyle w:val="Normal"/>
        <w:tabs>
          <w:tab w:val="clear" w:pos="708"/>
          <w:tab w:val="center" w:pos="4677" w:leader="none"/>
          <w:tab w:val="left" w:pos="7935" w:leader="none"/>
        </w:tabs>
        <w:jc w:val="center"/>
        <w:rPr>
          <w:rFonts w:eastAsia="Calibri"/>
          <w:sz w:val="24"/>
          <w:szCs w:val="24"/>
          <w:lang w:eastAsia="zh-CN"/>
        </w:rPr>
      </w:pPr>
      <w:r>
        <w:rPr>
          <w:rFonts w:eastAsia="Calibri"/>
          <w:sz w:val="24"/>
          <w:szCs w:val="24"/>
          <w:lang w:eastAsia="zh-CN"/>
        </w:rPr>
        <w:t>Ковалева Елена Борисовна, кандидат психологических наук, доцент кафедры дошкольного образования</w:t>
      </w:r>
    </w:p>
    <w:p>
      <w:pPr>
        <w:pStyle w:val="Normal"/>
        <w:tabs>
          <w:tab w:val="clear" w:pos="708"/>
          <w:tab w:val="center" w:pos="4677" w:leader="none"/>
          <w:tab w:val="left" w:pos="7935" w:leader="none"/>
        </w:tabs>
        <w:jc w:val="center"/>
        <w:rPr>
          <w:rFonts w:eastAsia="Calibri"/>
          <w:i/>
          <w:i/>
          <w:color w:val="000000"/>
          <w:sz w:val="18"/>
          <w:lang w:eastAsia="en-US"/>
        </w:rPr>
      </w:pPr>
      <w:r>
        <w:rPr>
          <w:rFonts w:eastAsia="Calibri"/>
          <w:sz w:val="24"/>
          <w:szCs w:val="24"/>
          <w:lang w:eastAsia="zh-CN"/>
        </w:rPr>
        <w:t>Александрова Елена Сергеевна, кандидат педагогических наук, старший преподаватель кафедры дошкольного образования</w:t>
      </w:r>
    </w:p>
    <w:p>
      <w:pPr>
        <w:pStyle w:val="Normal"/>
        <w:tabs>
          <w:tab w:val="clear" w:pos="708"/>
          <w:tab w:val="left" w:pos="7513" w:leader="none"/>
        </w:tabs>
        <w:rPr>
          <w:rFonts w:eastAsia="Calibri"/>
          <w:i/>
          <w:i/>
          <w:color w:val="000000"/>
          <w:sz w:val="24"/>
          <w:lang w:eastAsia="en-US"/>
        </w:rPr>
      </w:pPr>
      <w:r>
        <w:rPr>
          <w:rFonts w:eastAsia="Calibri"/>
          <w:i/>
          <w:color w:val="000000"/>
          <w:sz w:val="24"/>
          <w:lang w:eastAsia="en-US"/>
        </w:rPr>
      </w:r>
    </w:p>
    <w:p>
      <w:pPr>
        <w:pStyle w:val="Normal"/>
        <w:tabs>
          <w:tab w:val="clear" w:pos="708"/>
          <w:tab w:val="left" w:pos="7513" w:leader="none"/>
        </w:tabs>
        <w:rPr>
          <w:rFonts w:eastAsia="Calibri"/>
          <w:color w:val="000000"/>
          <w:sz w:val="24"/>
          <w:lang w:eastAsia="en-US"/>
        </w:rPr>
      </w:pPr>
      <w:r>
        <w:rPr>
          <w:rFonts w:eastAsia="Calibri"/>
          <w:color w:val="000000"/>
          <w:sz w:val="24"/>
          <w:lang w:eastAsia="en-US"/>
        </w:rPr>
      </w:r>
    </w:p>
    <w:p>
      <w:pPr>
        <w:pStyle w:val="Normal"/>
        <w:tabs>
          <w:tab w:val="clear" w:pos="708"/>
          <w:tab w:val="left" w:pos="7513" w:leader="none"/>
        </w:tabs>
        <w:rPr>
          <w:rFonts w:eastAsia="Calibri"/>
          <w:color w:val="000000"/>
          <w:sz w:val="24"/>
          <w:lang w:eastAsia="en-US"/>
        </w:rPr>
      </w:pPr>
      <w:r>
        <w:rPr>
          <w:rFonts w:eastAsia="Calibri"/>
          <w:color w:val="000000"/>
          <w:sz w:val="24"/>
          <w:lang w:eastAsia="en-US"/>
        </w:rPr>
      </w:r>
    </w:p>
    <w:p>
      <w:pPr>
        <w:pStyle w:val="Normal"/>
        <w:tabs>
          <w:tab w:val="clear" w:pos="708"/>
          <w:tab w:val="left" w:pos="7513" w:leader="none"/>
        </w:tabs>
        <w:rPr>
          <w:rFonts w:eastAsia="Calibri"/>
          <w:color w:val="000000"/>
          <w:sz w:val="24"/>
          <w:lang w:eastAsia="en-US"/>
        </w:rPr>
      </w:pPr>
      <w:r>
        <w:rPr>
          <w:rFonts w:eastAsia="Calibri"/>
          <w:color w:val="000000"/>
          <w:sz w:val="24"/>
          <w:lang w:eastAsia="en-US"/>
        </w:rPr>
      </w:r>
    </w:p>
    <w:p>
      <w:pPr>
        <w:pStyle w:val="Normal"/>
        <w:tabs>
          <w:tab w:val="clear" w:pos="708"/>
          <w:tab w:val="left" w:pos="7513" w:leader="none"/>
        </w:tabs>
        <w:jc w:val="center"/>
        <w:rPr>
          <w:rFonts w:eastAsia="Calibri"/>
          <w:color w:val="000000"/>
          <w:sz w:val="24"/>
          <w:lang w:eastAsia="en-US"/>
        </w:rPr>
      </w:pPr>
      <w:r>
        <w:rPr>
          <w:rFonts w:eastAsia="Calibri"/>
          <w:color w:val="000000"/>
          <w:sz w:val="24"/>
          <w:lang w:eastAsia="en-US"/>
        </w:rPr>
        <w:t>Санкт-Петербург</w:t>
      </w:r>
    </w:p>
    <w:p>
      <w:pPr>
        <w:pStyle w:val="Normal"/>
        <w:jc w:val="center"/>
        <w:rPr>
          <w:rFonts w:eastAsia="Calibri"/>
          <w:color w:val="000000"/>
          <w:sz w:val="24"/>
          <w:lang w:eastAsia="en-US"/>
        </w:rPr>
      </w:pPr>
      <w:r>
        <w:rPr>
          <w:rFonts w:eastAsia="Calibri"/>
          <w:color w:val="000000"/>
          <w:sz w:val="24"/>
          <w:lang w:eastAsia="en-US"/>
        </w:rPr>
        <w:t>2019 г.</w:t>
      </w:r>
    </w:p>
    <w:p>
      <w:pPr>
        <w:pStyle w:val="Normal"/>
        <w:jc w:val="center"/>
        <w:rPr>
          <w:rFonts w:eastAsia="Calibri"/>
          <w:color w:val="000000"/>
          <w:sz w:val="24"/>
          <w:szCs w:val="24"/>
          <w:lang w:eastAsia="en-US"/>
        </w:rPr>
      </w:pPr>
      <w:r>
        <w:rPr>
          <w:rFonts w:eastAsia="Calibri"/>
          <w:color w:val="000000"/>
          <w:sz w:val="24"/>
          <w:szCs w:val="24"/>
          <w:lang w:eastAsia="en-US"/>
        </w:rPr>
      </w:r>
      <w:r>
        <w:br w:type="page"/>
      </w:r>
    </w:p>
    <w:p>
      <w:pPr>
        <w:pStyle w:val="Normal"/>
        <w:jc w:val="center"/>
        <w:rPr>
          <w:color w:val="000000"/>
          <w:sz w:val="24"/>
          <w:szCs w:val="24"/>
        </w:rPr>
      </w:pPr>
      <w:r>
        <w:rPr>
          <w:color w:val="000000"/>
          <w:sz w:val="24"/>
          <w:szCs w:val="24"/>
        </w:rPr>
        <w:t>ПРАВИТЕЛЬСТВО САНКТ-ПЕТЕРБУРГА</w:t>
      </w:r>
    </w:p>
    <w:p>
      <w:pPr>
        <w:pStyle w:val="Normal"/>
        <w:jc w:val="center"/>
        <w:rPr>
          <w:color w:val="000000"/>
          <w:sz w:val="24"/>
          <w:szCs w:val="24"/>
        </w:rPr>
      </w:pPr>
      <w:r>
        <w:rPr>
          <w:color w:val="000000"/>
          <w:sz w:val="24"/>
          <w:szCs w:val="24"/>
        </w:rPr>
        <w:t>КОМИТЕТ ПО ОБРАЗОВАНИЮ</w:t>
      </w:r>
    </w:p>
    <w:p>
      <w:pPr>
        <w:pStyle w:val="Normal"/>
        <w:jc w:val="center"/>
        <w:rPr>
          <w:color w:val="000000"/>
          <w:spacing w:val="30"/>
          <w:sz w:val="24"/>
          <w:szCs w:val="24"/>
        </w:rPr>
      </w:pPr>
      <w:r>
        <w:rPr>
          <w:color w:val="000000"/>
          <w:spacing w:val="30"/>
          <w:sz w:val="24"/>
          <w:szCs w:val="24"/>
        </w:rPr>
        <w:t>САНКТ-ПЕТЕРБУРГСКАЯ АКАДЕМИЯ</w:t>
      </w:r>
    </w:p>
    <w:p>
      <w:pPr>
        <w:pStyle w:val="Normal"/>
        <w:jc w:val="center"/>
        <w:rPr>
          <w:color w:val="000000"/>
          <w:spacing w:val="30"/>
          <w:sz w:val="24"/>
          <w:szCs w:val="24"/>
        </w:rPr>
      </w:pPr>
      <w:r>
        <w:rPr>
          <w:color w:val="000000"/>
          <w:spacing w:val="30"/>
          <w:sz w:val="24"/>
          <w:szCs w:val="24"/>
        </w:rPr>
        <w:t>ПОСТДИПЛОМНОГО ПЕДАГОГИЧЕСКОГО ОБРАЗОВАНИЯ</w:t>
      </w:r>
    </w:p>
    <w:p>
      <w:pPr>
        <w:pStyle w:val="Normal"/>
        <w:jc w:val="center"/>
        <w:rPr>
          <w:color w:val="000000"/>
          <w:spacing w:val="30"/>
          <w:sz w:val="24"/>
          <w:szCs w:val="24"/>
        </w:rPr>
      </w:pPr>
      <w:r>
        <w:rPr>
          <w:color w:val="000000"/>
          <w:spacing w:val="30"/>
          <w:sz w:val="24"/>
          <w:szCs w:val="24"/>
        </w:rPr>
      </w:r>
    </w:p>
    <w:p>
      <w:pPr>
        <w:pStyle w:val="Normal"/>
        <w:jc w:val="center"/>
        <w:rPr>
          <w:color w:val="000000"/>
          <w:sz w:val="24"/>
          <w:szCs w:val="24"/>
        </w:rPr>
      </w:pPr>
      <w:r>
        <w:rPr>
          <w:color w:val="000000"/>
          <w:sz w:val="24"/>
          <w:szCs w:val="24"/>
        </w:rPr>
        <w:t>Институт детства</w:t>
      </w:r>
    </w:p>
    <w:p>
      <w:pPr>
        <w:pStyle w:val="Normal"/>
        <w:jc w:val="center"/>
        <w:rPr>
          <w:i/>
          <w:i/>
          <w:color w:val="000000"/>
          <w:sz w:val="18"/>
          <w:szCs w:val="18"/>
        </w:rPr>
      </w:pPr>
      <w:r>
        <w:rPr>
          <w:i/>
          <w:color w:val="000000"/>
          <w:sz w:val="18"/>
          <w:szCs w:val="18"/>
        </w:rPr>
        <w:t>Кафедра педагогики семьи</w:t>
      </w:r>
    </w:p>
    <w:tbl>
      <w:tblPr>
        <w:tblW w:w="9286" w:type="dxa"/>
        <w:jc w:val="left"/>
        <w:tblInd w:w="671" w:type="dxa"/>
        <w:tblLayout w:type="fixed"/>
        <w:tblCellMar>
          <w:top w:w="0" w:type="dxa"/>
          <w:left w:w="108" w:type="dxa"/>
          <w:bottom w:w="0" w:type="dxa"/>
          <w:right w:w="108" w:type="dxa"/>
        </w:tblCellMar>
      </w:tblPr>
      <w:tblGrid>
        <w:gridCol w:w="4503"/>
        <w:gridCol w:w="4783"/>
      </w:tblGrid>
      <w:tr>
        <w:trPr/>
        <w:tc>
          <w:tcPr>
            <w:tcW w:w="4503" w:type="dxa"/>
            <w:tcBorders/>
          </w:tcPr>
          <w:p>
            <w:pPr>
              <w:pStyle w:val="Normal"/>
              <w:tabs>
                <w:tab w:val="clear" w:pos="708"/>
                <w:tab w:val="left" w:pos="7513" w:leader="none"/>
              </w:tabs>
              <w:snapToGrid w:val="false"/>
              <w:jc w:val="center"/>
              <w:rPr>
                <w:color w:val="000000"/>
                <w:sz w:val="24"/>
                <w:szCs w:val="24"/>
              </w:rPr>
            </w:pPr>
            <w:r>
              <w:rPr>
                <w:color w:val="000000"/>
                <w:sz w:val="24"/>
                <w:szCs w:val="24"/>
              </w:rPr>
            </w:r>
          </w:p>
        </w:tc>
        <w:tc>
          <w:tcPr>
            <w:tcW w:w="4783" w:type="dxa"/>
            <w:tcBorders/>
          </w:tcPr>
          <w:p>
            <w:pPr>
              <w:pStyle w:val="Normal"/>
              <w:tabs>
                <w:tab w:val="clear" w:pos="708"/>
                <w:tab w:val="left" w:pos="7513" w:leader="none"/>
              </w:tabs>
              <w:jc w:val="center"/>
              <w:rPr>
                <w:color w:val="000000"/>
                <w:sz w:val="24"/>
                <w:szCs w:val="24"/>
              </w:rPr>
            </w:pPr>
            <w:r>
              <w:rPr>
                <w:color w:val="000000"/>
                <w:sz w:val="24"/>
                <w:szCs w:val="24"/>
              </w:rPr>
              <w:t>«УТВЕРЖДАЮ»</w:t>
            </w:r>
          </w:p>
          <w:p>
            <w:pPr>
              <w:pStyle w:val="Normal"/>
              <w:tabs>
                <w:tab w:val="clear" w:pos="708"/>
                <w:tab w:val="left" w:pos="7513" w:leader="none"/>
              </w:tabs>
              <w:jc w:val="center"/>
              <w:rPr>
                <w:color w:val="000000"/>
                <w:sz w:val="24"/>
                <w:szCs w:val="24"/>
              </w:rPr>
            </w:pPr>
            <w:r>
              <w:rPr>
                <w:color w:val="000000"/>
                <w:sz w:val="24"/>
                <w:szCs w:val="24"/>
              </w:rPr>
            </w:r>
          </w:p>
        </w:tc>
      </w:tr>
      <w:tr>
        <w:trPr/>
        <w:tc>
          <w:tcPr>
            <w:tcW w:w="4503" w:type="dxa"/>
            <w:tcBorders/>
          </w:tcPr>
          <w:p>
            <w:pPr>
              <w:pStyle w:val="Normal"/>
              <w:tabs>
                <w:tab w:val="clear" w:pos="708"/>
                <w:tab w:val="left" w:pos="7513" w:leader="none"/>
              </w:tabs>
              <w:snapToGrid w:val="false"/>
              <w:rPr>
                <w:rFonts w:ascii="Calibri" w:hAnsi="Calibri" w:eastAsia="Calibri" w:cs="Calibri"/>
                <w:color w:val="000000"/>
                <w:sz w:val="20"/>
                <w:szCs w:val="20"/>
                <w:lang w:eastAsia="en-US"/>
              </w:rPr>
            </w:pPr>
            <w:r>
              <w:rPr>
                <w:rFonts w:eastAsia="Calibri" w:cs="Calibri" w:ascii="Calibri" w:hAnsi="Calibri"/>
                <w:color w:val="000000"/>
                <w:sz w:val="20"/>
                <w:szCs w:val="20"/>
                <w:lang w:eastAsia="en-US"/>
              </w:rPr>
            </w:r>
          </w:p>
        </w:tc>
        <w:tc>
          <w:tcPr>
            <w:tcW w:w="4783" w:type="dxa"/>
            <w:tcBorders/>
          </w:tcPr>
          <w:p>
            <w:pPr>
              <w:pStyle w:val="Normal"/>
              <w:tabs>
                <w:tab w:val="clear" w:pos="708"/>
                <w:tab w:val="left" w:pos="7513" w:leader="none"/>
              </w:tabs>
              <w:jc w:val="center"/>
              <w:rPr>
                <w:color w:val="000000"/>
                <w:sz w:val="20"/>
                <w:szCs w:val="20"/>
              </w:rPr>
            </w:pPr>
            <w:r>
              <w:rPr>
                <w:color w:val="000000"/>
                <w:sz w:val="20"/>
                <w:szCs w:val="20"/>
              </w:rPr>
              <w:t>Ректор ___________________ С.В. Жолован</w:t>
            </w:r>
          </w:p>
          <w:p>
            <w:pPr>
              <w:pStyle w:val="Normal"/>
              <w:tabs>
                <w:tab w:val="clear" w:pos="708"/>
                <w:tab w:val="left" w:pos="7513" w:leader="none"/>
              </w:tabs>
              <w:jc w:val="center"/>
              <w:rPr>
                <w:color w:val="000000"/>
                <w:sz w:val="20"/>
                <w:szCs w:val="20"/>
              </w:rPr>
            </w:pPr>
            <w:r>
              <w:rPr>
                <w:color w:val="000000"/>
                <w:sz w:val="20"/>
                <w:szCs w:val="20"/>
              </w:rPr>
            </w:r>
          </w:p>
          <w:p>
            <w:pPr>
              <w:pStyle w:val="Normal"/>
              <w:tabs>
                <w:tab w:val="clear" w:pos="708"/>
                <w:tab w:val="left" w:pos="7513" w:leader="none"/>
              </w:tabs>
              <w:jc w:val="center"/>
              <w:rPr>
                <w:color w:val="000000"/>
                <w:sz w:val="20"/>
                <w:szCs w:val="20"/>
              </w:rPr>
            </w:pPr>
            <w:r>
              <w:rPr>
                <w:color w:val="000000"/>
                <w:sz w:val="20"/>
                <w:szCs w:val="20"/>
              </w:rPr>
              <w:t>«____»_____________2020 г.</w:t>
            </w:r>
          </w:p>
        </w:tc>
      </w:tr>
      <w:tr>
        <w:trPr/>
        <w:tc>
          <w:tcPr>
            <w:tcW w:w="4503" w:type="dxa"/>
            <w:tcBorders/>
          </w:tcPr>
          <w:p>
            <w:pPr>
              <w:pStyle w:val="Normal"/>
              <w:keepNext w:val="true"/>
              <w:numPr>
                <w:ilvl w:val="0"/>
                <w:numId w:val="0"/>
              </w:numPr>
              <w:snapToGrid w:val="false"/>
              <w:outlineLvl w:val="2"/>
              <w:rPr>
                <w:rFonts w:ascii="Calibri" w:hAnsi="Calibri" w:eastAsia="Calibri" w:cs="Calibri"/>
                <w:b/>
                <w:b/>
                <w:bCs/>
                <w:color w:val="000000"/>
                <w:sz w:val="26"/>
                <w:szCs w:val="24"/>
                <w:lang w:eastAsia="en-US"/>
              </w:rPr>
            </w:pPr>
            <w:r>
              <w:rPr>
                <w:rFonts w:eastAsia="Calibri" w:cs="Calibri" w:ascii="Calibri" w:hAnsi="Calibri"/>
                <w:b/>
                <w:bCs/>
                <w:color w:val="000000"/>
                <w:sz w:val="26"/>
                <w:szCs w:val="24"/>
                <w:lang w:eastAsia="en-US"/>
              </w:rPr>
            </w:r>
          </w:p>
          <w:p>
            <w:pPr>
              <w:pStyle w:val="Normal"/>
              <w:jc w:val="center"/>
              <w:rPr>
                <w:rFonts w:eastAsia="Calibri"/>
                <w:b/>
                <w:b/>
                <w:bCs/>
                <w:color w:val="000000"/>
                <w:sz w:val="24"/>
                <w:szCs w:val="24"/>
              </w:rPr>
            </w:pPr>
            <w:r>
              <w:rPr>
                <w:rFonts w:eastAsia="Calibri"/>
                <w:b/>
                <w:bCs/>
                <w:color w:val="000000"/>
                <w:sz w:val="24"/>
                <w:szCs w:val="24"/>
              </w:rPr>
            </w:r>
          </w:p>
        </w:tc>
        <w:tc>
          <w:tcPr>
            <w:tcW w:w="4783" w:type="dxa"/>
            <w:tcBorders/>
          </w:tcPr>
          <w:p>
            <w:pPr>
              <w:pStyle w:val="Normal"/>
              <w:tabs>
                <w:tab w:val="clear" w:pos="708"/>
                <w:tab w:val="left" w:pos="7513" w:leader="none"/>
              </w:tabs>
              <w:snapToGrid w:val="false"/>
              <w:jc w:val="center"/>
              <w:rPr>
                <w:color w:val="000000"/>
                <w:sz w:val="24"/>
                <w:szCs w:val="24"/>
              </w:rPr>
            </w:pPr>
            <w:r>
              <w:rPr>
                <w:color w:val="000000"/>
                <w:sz w:val="24"/>
                <w:szCs w:val="24"/>
              </w:rPr>
            </w:r>
          </w:p>
        </w:tc>
      </w:tr>
    </w:tbl>
    <w:p>
      <w:pPr>
        <w:pStyle w:val="Normal"/>
        <w:tabs>
          <w:tab w:val="clear" w:pos="708"/>
          <w:tab w:val="left" w:pos="7513" w:leader="none"/>
        </w:tabs>
        <w:jc w:val="center"/>
        <w:rPr>
          <w:b/>
          <w:b/>
          <w:color w:val="000000"/>
          <w:sz w:val="24"/>
          <w:szCs w:val="24"/>
        </w:rPr>
      </w:pPr>
      <w:r>
        <w:rPr>
          <w:b/>
          <w:color w:val="000000"/>
          <w:sz w:val="24"/>
          <w:szCs w:val="24"/>
        </w:rPr>
        <w:t>УЧЕБНЫЙ ПЛАН</w:t>
      </w:r>
    </w:p>
    <w:p>
      <w:pPr>
        <w:pStyle w:val="Normal"/>
        <w:jc w:val="center"/>
        <w:rPr>
          <w:color w:val="000000"/>
          <w:sz w:val="24"/>
          <w:szCs w:val="24"/>
        </w:rPr>
      </w:pPr>
      <w:r>
        <w:rPr>
          <w:color w:val="000000"/>
          <w:sz w:val="24"/>
          <w:szCs w:val="24"/>
        </w:rPr>
        <w:t xml:space="preserve">дополнительной профессиональной программы повышения квалификации </w:t>
      </w:r>
    </w:p>
    <w:p>
      <w:pPr>
        <w:pStyle w:val="Normal"/>
        <w:jc w:val="center"/>
        <w:rPr/>
      </w:pPr>
      <w:r>
        <w:rPr>
          <w:b/>
          <w:color w:val="000000"/>
          <w:sz w:val="24"/>
          <w:szCs w:val="24"/>
        </w:rPr>
        <w:t>«</w:t>
      </w:r>
      <w:r>
        <w:rPr>
          <w:rFonts w:eastAsia="Calibri"/>
          <w:b/>
          <w:sz w:val="24"/>
          <w:szCs w:val="24"/>
          <w:lang w:eastAsia="en-US"/>
        </w:rPr>
        <w:t>Проектирование педагогических условий для преодоления синдрома дефицита внимания и гиперактивности у обучающихся в образовательном процессе</w:t>
      </w:r>
      <w:r>
        <w:rPr>
          <w:b/>
          <w:color w:val="000000"/>
          <w:sz w:val="24"/>
          <w:szCs w:val="24"/>
        </w:rPr>
        <w:t>»</w:t>
      </w:r>
    </w:p>
    <w:p>
      <w:pPr>
        <w:pStyle w:val="Normal"/>
        <w:tabs>
          <w:tab w:val="clear" w:pos="708"/>
          <w:tab w:val="left" w:pos="7513" w:leader="none"/>
        </w:tabs>
        <w:rPr>
          <w:b/>
          <w:b/>
          <w:color w:val="000000"/>
          <w:sz w:val="24"/>
          <w:szCs w:val="24"/>
        </w:rPr>
      </w:pPr>
      <w:r>
        <w:rPr>
          <w:b/>
          <w:color w:val="000000"/>
          <w:sz w:val="24"/>
          <w:szCs w:val="24"/>
        </w:rPr>
      </w:r>
    </w:p>
    <w:p>
      <w:pPr>
        <w:pStyle w:val="Normal"/>
        <w:tabs>
          <w:tab w:val="clear" w:pos="708"/>
          <w:tab w:val="left" w:pos="7513" w:leader="none"/>
        </w:tabs>
        <w:jc w:val="both"/>
        <w:rPr/>
      </w:pPr>
      <w:r>
        <w:rPr>
          <w:b/>
          <w:color w:val="000000"/>
          <w:sz w:val="24"/>
          <w:szCs w:val="24"/>
        </w:rPr>
        <w:t>Цель:</w:t>
      </w:r>
      <w:r>
        <w:rPr>
          <w:sz w:val="24"/>
          <w:szCs w:val="24"/>
        </w:rPr>
        <w:t xml:space="preserve"> совершенствование профессиональной компетентности педагогов в сфере п</w:t>
      </w:r>
      <w:r>
        <w:rPr>
          <w:rFonts w:eastAsia="Calibri"/>
          <w:sz w:val="24"/>
          <w:szCs w:val="24"/>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w:t>
      </w:r>
      <w:r>
        <w:rPr>
          <w:sz w:val="24"/>
          <w:szCs w:val="24"/>
        </w:rPr>
        <w:t xml:space="preserve"> (см. Целевую карту).</w:t>
      </w:r>
    </w:p>
    <w:p>
      <w:pPr>
        <w:pStyle w:val="Normal"/>
        <w:tabs>
          <w:tab w:val="clear" w:pos="708"/>
          <w:tab w:val="left" w:pos="7513" w:leader="none"/>
        </w:tabs>
        <w:jc w:val="both"/>
        <w:rPr/>
      </w:pPr>
      <w:r>
        <w:rPr>
          <w:b/>
          <w:sz w:val="24"/>
          <w:szCs w:val="24"/>
        </w:rPr>
        <w:t>Категория слушателей:</w:t>
      </w:r>
      <w:r>
        <w:rPr>
          <w:sz w:val="24"/>
          <w:szCs w:val="24"/>
        </w:rPr>
        <w:t xml:space="preserve"> педагоги ГОУ</w:t>
      </w:r>
      <w:r>
        <w:rPr>
          <w:color w:val="FF0000"/>
          <w:sz w:val="24"/>
          <w:szCs w:val="24"/>
        </w:rPr>
        <w:t xml:space="preserve"> </w:t>
      </w:r>
      <w:r>
        <w:rPr>
          <w:sz w:val="24"/>
          <w:szCs w:val="24"/>
        </w:rPr>
        <w:t>(см. Целевую карту).</w:t>
      </w:r>
    </w:p>
    <w:p>
      <w:pPr>
        <w:pStyle w:val="Normal"/>
        <w:tabs>
          <w:tab w:val="clear" w:pos="708"/>
          <w:tab w:val="left" w:pos="7513" w:leader="none"/>
        </w:tabs>
        <w:jc w:val="both"/>
        <w:rPr>
          <w:b/>
          <w:b/>
          <w:sz w:val="24"/>
          <w:szCs w:val="24"/>
        </w:rPr>
      </w:pPr>
      <w:r>
        <w:rPr>
          <w:b/>
          <w:color w:val="000000"/>
          <w:sz w:val="24"/>
          <w:szCs w:val="24"/>
        </w:rPr>
        <w:t>Форма обучения: очная</w:t>
      </w:r>
    </w:p>
    <w:p>
      <w:pPr>
        <w:pStyle w:val="Normal"/>
        <w:tabs>
          <w:tab w:val="clear" w:pos="708"/>
          <w:tab w:val="left" w:pos="7513" w:leader="none"/>
        </w:tabs>
        <w:jc w:val="both"/>
        <w:rPr>
          <w:b/>
          <w:b/>
          <w:color w:val="000000"/>
          <w:sz w:val="24"/>
          <w:szCs w:val="24"/>
        </w:rPr>
      </w:pPr>
      <w:r>
        <w:rPr>
          <w:b/>
          <w:color w:val="000000"/>
          <w:sz w:val="24"/>
          <w:szCs w:val="24"/>
        </w:rPr>
        <w:t>Календарный учебный график:</w:t>
      </w:r>
    </w:p>
    <w:p>
      <w:pPr>
        <w:pStyle w:val="Normal"/>
        <w:tabs>
          <w:tab w:val="clear" w:pos="708"/>
          <w:tab w:val="left" w:pos="7513" w:leader="none"/>
        </w:tabs>
        <w:jc w:val="both"/>
        <w:rPr>
          <w:color w:val="000000"/>
          <w:sz w:val="24"/>
          <w:szCs w:val="24"/>
        </w:rPr>
      </w:pPr>
      <w:r>
        <w:rPr>
          <w:color w:val="000000"/>
          <w:sz w:val="24"/>
          <w:szCs w:val="24"/>
        </w:rPr>
        <w:t>Общий объём программы в часах 108</w:t>
      </w:r>
    </w:p>
    <w:p>
      <w:pPr>
        <w:pStyle w:val="Normal"/>
        <w:tabs>
          <w:tab w:val="clear" w:pos="708"/>
          <w:tab w:val="left" w:pos="7513" w:leader="none"/>
        </w:tabs>
        <w:jc w:val="both"/>
        <w:rPr>
          <w:color w:val="000000"/>
          <w:sz w:val="24"/>
          <w:szCs w:val="24"/>
        </w:rPr>
      </w:pPr>
      <w:r>
        <w:rPr>
          <w:color w:val="000000"/>
          <w:sz w:val="24"/>
          <w:szCs w:val="24"/>
        </w:rPr>
        <w:t>Из них:</w:t>
      </w:r>
    </w:p>
    <w:p>
      <w:pPr>
        <w:pStyle w:val="Normal"/>
        <w:tabs>
          <w:tab w:val="clear" w:pos="708"/>
          <w:tab w:val="left" w:pos="7513" w:leader="none"/>
        </w:tabs>
        <w:jc w:val="both"/>
        <w:rPr>
          <w:color w:val="000000"/>
          <w:sz w:val="24"/>
          <w:szCs w:val="24"/>
        </w:rPr>
      </w:pPr>
      <w:r>
        <w:rPr>
          <w:color w:val="000000"/>
          <w:sz w:val="24"/>
          <w:szCs w:val="24"/>
        </w:rPr>
        <w:t>аудиторных часов 90;</w:t>
      </w:r>
    </w:p>
    <w:p>
      <w:pPr>
        <w:pStyle w:val="Normal"/>
        <w:tabs>
          <w:tab w:val="clear" w:pos="708"/>
          <w:tab w:val="left" w:pos="7513" w:leader="none"/>
        </w:tabs>
        <w:jc w:val="both"/>
        <w:rPr>
          <w:color w:val="000000"/>
          <w:sz w:val="24"/>
          <w:szCs w:val="24"/>
        </w:rPr>
      </w:pPr>
      <w:r>
        <w:rPr>
          <w:color w:val="000000"/>
          <w:sz w:val="24"/>
          <w:szCs w:val="24"/>
        </w:rPr>
        <w:t>обучение в дистанционном режиме 18.</w:t>
      </w:r>
    </w:p>
    <w:p>
      <w:pPr>
        <w:pStyle w:val="Normal"/>
        <w:tabs>
          <w:tab w:val="clear" w:pos="708"/>
          <w:tab w:val="left" w:pos="7513" w:leader="none"/>
        </w:tabs>
        <w:jc w:val="both"/>
        <w:rPr>
          <w:i/>
          <w:i/>
          <w:color w:val="000000"/>
          <w:sz w:val="24"/>
          <w:szCs w:val="24"/>
        </w:rPr>
      </w:pPr>
      <w:r>
        <w:rPr>
          <w:i/>
          <w:color w:val="000000"/>
          <w:sz w:val="24"/>
          <w:szCs w:val="24"/>
        </w:rPr>
        <w:t>Режим аудиторных занятий:</w:t>
      </w:r>
    </w:p>
    <w:p>
      <w:pPr>
        <w:pStyle w:val="Normal"/>
        <w:tabs>
          <w:tab w:val="clear" w:pos="708"/>
          <w:tab w:val="left" w:pos="7513" w:leader="none"/>
        </w:tabs>
        <w:jc w:val="both"/>
        <w:rPr>
          <w:color w:val="000000"/>
          <w:sz w:val="24"/>
          <w:szCs w:val="24"/>
        </w:rPr>
      </w:pPr>
      <w:r>
        <w:rPr>
          <w:color w:val="000000"/>
          <w:sz w:val="24"/>
          <w:szCs w:val="24"/>
        </w:rPr>
        <w:t>Часов в день 6;</w:t>
      </w:r>
    </w:p>
    <w:p>
      <w:pPr>
        <w:pStyle w:val="Normal"/>
        <w:tabs>
          <w:tab w:val="clear" w:pos="708"/>
          <w:tab w:val="left" w:pos="7513" w:leader="none"/>
        </w:tabs>
        <w:jc w:val="both"/>
        <w:rPr>
          <w:color w:val="000000"/>
          <w:sz w:val="24"/>
          <w:szCs w:val="24"/>
        </w:rPr>
      </w:pPr>
      <w:r>
        <w:rPr>
          <w:color w:val="000000"/>
          <w:sz w:val="24"/>
          <w:szCs w:val="24"/>
        </w:rPr>
        <w:t>Дней в неделю от 1 до 3;</w:t>
      </w:r>
    </w:p>
    <w:p>
      <w:pPr>
        <w:pStyle w:val="Normal"/>
        <w:tabs>
          <w:tab w:val="clear" w:pos="708"/>
          <w:tab w:val="left" w:pos="7513" w:leader="none"/>
        </w:tabs>
        <w:jc w:val="both"/>
        <w:rPr/>
      </w:pPr>
      <w:r>
        <w:rPr>
          <w:b/>
          <w:color w:val="000000"/>
          <w:sz w:val="24"/>
          <w:szCs w:val="24"/>
        </w:rPr>
        <w:t>Общая продолжительность программы (месяцев, недель)</w:t>
      </w:r>
      <w:r>
        <w:rPr/>
        <w:t xml:space="preserve"> 4,5 месяца, 20 недель, 20 дней.</w:t>
      </w:r>
    </w:p>
    <w:tbl>
      <w:tblPr>
        <w:tblW w:w="9757" w:type="dxa"/>
        <w:jc w:val="left"/>
        <w:tblInd w:w="-10" w:type="dxa"/>
        <w:tblLayout w:type="fixed"/>
        <w:tblCellMar>
          <w:top w:w="0" w:type="dxa"/>
          <w:left w:w="108" w:type="dxa"/>
          <w:bottom w:w="0" w:type="dxa"/>
          <w:right w:w="108" w:type="dxa"/>
        </w:tblCellMar>
      </w:tblPr>
      <w:tblGrid>
        <w:gridCol w:w="817"/>
        <w:gridCol w:w="4394"/>
        <w:gridCol w:w="851"/>
        <w:gridCol w:w="992"/>
        <w:gridCol w:w="1134"/>
        <w:gridCol w:w="1569"/>
      </w:tblGrid>
      <w:tr>
        <w:trPr>
          <w:trHeight w:val="555" w:hRule="atLeast"/>
          <w:cantSplit w:val="true"/>
        </w:trPr>
        <w:tc>
          <w:tcPr>
            <w:tcW w:w="817" w:type="dxa"/>
            <w:tcBorders>
              <w:top w:val="single" w:sz="4" w:space="0" w:color="000000"/>
              <w:left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 xml:space="preserve">№ </w:t>
            </w:r>
            <w:r>
              <w:rPr>
                <w:color w:val="000000"/>
                <w:sz w:val="20"/>
                <w:szCs w:val="20"/>
              </w:rPr>
              <w:t>п/п</w:t>
            </w:r>
          </w:p>
        </w:tc>
        <w:tc>
          <w:tcPr>
            <w:tcW w:w="4394"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Наименование модулей</w:t>
            </w:r>
          </w:p>
        </w:tc>
        <w:tc>
          <w:tcPr>
            <w:tcW w:w="851"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Всего часов</w:t>
            </w:r>
          </w:p>
        </w:tc>
        <w:tc>
          <w:tcPr>
            <w:tcW w:w="2126"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В том числе</w:t>
            </w:r>
          </w:p>
        </w:tc>
        <w:tc>
          <w:tcPr>
            <w:tcW w:w="1569"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Форма</w:t>
            </w:r>
          </w:p>
          <w:p>
            <w:pPr>
              <w:pStyle w:val="Normal"/>
              <w:tabs>
                <w:tab w:val="clear" w:pos="708"/>
                <w:tab w:val="left" w:pos="7513" w:leader="none"/>
              </w:tabs>
              <w:jc w:val="center"/>
              <w:rPr>
                <w:color w:val="000000"/>
                <w:sz w:val="20"/>
                <w:szCs w:val="20"/>
              </w:rPr>
            </w:pPr>
            <w:r>
              <w:rPr>
                <w:color w:val="000000"/>
                <w:sz w:val="20"/>
                <w:szCs w:val="20"/>
              </w:rPr>
              <w:t>контроля</w:t>
            </w:r>
          </w:p>
        </w:tc>
      </w:tr>
      <w:tr>
        <w:trPr>
          <w:cantSplit w:val="true"/>
        </w:trPr>
        <w:tc>
          <w:tcPr>
            <w:tcW w:w="817" w:type="dxa"/>
            <w:tcBorders>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rFonts w:ascii="Calibri" w:hAnsi="Calibri" w:eastAsia="Calibri" w:cs="Calibri"/>
                <w:b/>
                <w:b/>
                <w:color w:val="000000"/>
                <w:sz w:val="20"/>
                <w:szCs w:val="20"/>
                <w:lang w:eastAsia="en-US"/>
              </w:rPr>
            </w:pPr>
            <w:r>
              <w:rPr>
                <w:rFonts w:eastAsia="Calibri" w:cs="Calibri" w:ascii="Calibri" w:hAnsi="Calibri"/>
                <w:b/>
                <w:color w:val="000000"/>
                <w:sz w:val="20"/>
                <w:szCs w:val="20"/>
                <w:lang w:eastAsia="en-US"/>
              </w:rPr>
            </w:r>
          </w:p>
        </w:tc>
        <w:tc>
          <w:tcPr>
            <w:tcW w:w="4394"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b/>
                <w:b/>
                <w:color w:val="000000"/>
                <w:sz w:val="20"/>
                <w:szCs w:val="20"/>
              </w:rPr>
            </w:pPr>
            <w:r>
              <w:rPr>
                <w:b/>
                <w:color w:val="000000"/>
                <w:sz w:val="20"/>
                <w:szCs w:val="20"/>
              </w:rPr>
            </w:r>
          </w:p>
        </w:tc>
        <w:tc>
          <w:tcPr>
            <w:tcW w:w="851"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b/>
                <w:b/>
                <w:color w:val="000000"/>
                <w:sz w:val="20"/>
                <w:szCs w:val="20"/>
              </w:rPr>
            </w:pPr>
            <w:r>
              <w:rPr>
                <w:b/>
                <w:color w:val="000000"/>
                <w:sz w:val="20"/>
                <w:szCs w:val="20"/>
              </w:rPr>
            </w:r>
          </w:p>
        </w:tc>
        <w:tc>
          <w:tcPr>
            <w:tcW w:w="99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Лекции</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Практические</w:t>
              <w:br/>
              <w:t>занятия</w:t>
            </w:r>
          </w:p>
        </w:tc>
        <w:tc>
          <w:tcPr>
            <w:tcW w:w="1569"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b/>
                <w:b/>
                <w:color w:val="000000"/>
                <w:sz w:val="20"/>
                <w:szCs w:val="20"/>
              </w:rPr>
            </w:pPr>
            <w:r>
              <w:rPr>
                <w:b/>
                <w:color w:val="000000"/>
                <w:sz w:val="20"/>
                <w:szCs w:val="20"/>
              </w:rPr>
            </w:r>
          </w:p>
        </w:tc>
      </w:tr>
      <w:tr>
        <w:trPr/>
        <w:tc>
          <w:tcPr>
            <w:tcW w:w="81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sz w:val="20"/>
                <w:szCs w:val="20"/>
              </w:rPr>
            </w:pPr>
            <w:r>
              <w:rPr>
                <w:sz w:val="20"/>
                <w:szCs w:val="20"/>
              </w:rPr>
              <w:t>1.</w:t>
            </w:r>
          </w:p>
        </w:tc>
        <w:tc>
          <w:tcPr>
            <w:tcW w:w="439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sz w:val="20"/>
                <w:szCs w:val="20"/>
              </w:rPr>
            </w:pPr>
            <w:r>
              <w:rPr>
                <w:sz w:val="20"/>
                <w:szCs w:val="20"/>
              </w:rPr>
              <w:t>Профессиональная компетентность педагога ГОУ в работе с детьми с особыми образовательными потребностями</w:t>
            </w:r>
          </w:p>
        </w:tc>
        <w:tc>
          <w:tcPr>
            <w:tcW w:w="851"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36</w:t>
            </w:r>
          </w:p>
        </w:tc>
        <w:tc>
          <w:tcPr>
            <w:tcW w:w="99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18</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18</w:t>
            </w:r>
          </w:p>
        </w:tc>
        <w:tc>
          <w:tcPr>
            <w:tcW w:w="156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 xml:space="preserve">Экзамен </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sz w:val="20"/>
                <w:szCs w:val="20"/>
              </w:rPr>
            </w:pPr>
            <w:r>
              <w:rPr>
                <w:sz w:val="20"/>
                <w:szCs w:val="20"/>
              </w:rPr>
              <w:t>2.</w:t>
            </w:r>
          </w:p>
        </w:tc>
        <w:tc>
          <w:tcPr>
            <w:tcW w:w="439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sz w:val="20"/>
                <w:szCs w:val="20"/>
              </w:rPr>
            </w:pPr>
            <w:r>
              <w:rPr>
                <w:sz w:val="20"/>
                <w:szCs w:val="20"/>
              </w:rPr>
              <w:t xml:space="preserve">Научно-теоретические подходы к обучению и воспитанию детей с СДВГ </w:t>
            </w:r>
          </w:p>
        </w:tc>
        <w:tc>
          <w:tcPr>
            <w:tcW w:w="851"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36</w:t>
            </w:r>
          </w:p>
        </w:tc>
        <w:tc>
          <w:tcPr>
            <w:tcW w:w="99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12</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24</w:t>
            </w:r>
          </w:p>
        </w:tc>
        <w:tc>
          <w:tcPr>
            <w:tcW w:w="156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Экзамен</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sz w:val="20"/>
                <w:szCs w:val="20"/>
              </w:rPr>
            </w:pPr>
            <w:r>
              <w:rPr>
                <w:sz w:val="20"/>
                <w:szCs w:val="20"/>
              </w:rPr>
              <w:t>3.</w:t>
            </w:r>
          </w:p>
        </w:tc>
        <w:tc>
          <w:tcPr>
            <w:tcW w:w="439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color w:val="FF0000"/>
                <w:sz w:val="20"/>
                <w:szCs w:val="20"/>
              </w:rPr>
            </w:pPr>
            <w:r>
              <w:rPr>
                <w:sz w:val="20"/>
                <w:szCs w:val="20"/>
              </w:rPr>
              <w:t>Технологии п</w:t>
            </w:r>
            <w:r>
              <w:rPr>
                <w:rFonts w:eastAsia="Calibri"/>
                <w:sz w:val="20"/>
                <w:szCs w:val="20"/>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w:t>
            </w:r>
          </w:p>
        </w:tc>
        <w:tc>
          <w:tcPr>
            <w:tcW w:w="851"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36</w:t>
            </w:r>
          </w:p>
        </w:tc>
        <w:tc>
          <w:tcPr>
            <w:tcW w:w="99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6</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30</w:t>
            </w:r>
          </w:p>
        </w:tc>
        <w:tc>
          <w:tcPr>
            <w:tcW w:w="156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Экзамен</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rPr>
                <w:rFonts w:ascii="Calibri" w:hAnsi="Calibri" w:eastAsia="Calibri" w:cs="Calibri"/>
                <w:color w:val="000000"/>
                <w:sz w:val="20"/>
                <w:szCs w:val="20"/>
                <w:lang w:eastAsia="en-US"/>
              </w:rPr>
            </w:pPr>
            <w:r>
              <w:rPr>
                <w:rFonts w:eastAsia="Calibri" w:cs="Calibri" w:ascii="Calibri" w:hAnsi="Calibri"/>
                <w:color w:val="000000"/>
                <w:sz w:val="20"/>
                <w:szCs w:val="20"/>
                <w:lang w:eastAsia="en-US"/>
              </w:rPr>
            </w:r>
          </w:p>
        </w:tc>
        <w:tc>
          <w:tcPr>
            <w:tcW w:w="439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color w:val="000000"/>
                <w:sz w:val="20"/>
                <w:szCs w:val="20"/>
              </w:rPr>
            </w:pPr>
            <w:r>
              <w:rPr>
                <w:color w:val="000000"/>
                <w:sz w:val="20"/>
                <w:szCs w:val="20"/>
              </w:rPr>
              <w:t>Итоговый контроль</w:t>
            </w:r>
          </w:p>
        </w:tc>
        <w:tc>
          <w:tcPr>
            <w:tcW w:w="851"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color w:val="000000"/>
                <w:sz w:val="20"/>
                <w:szCs w:val="20"/>
              </w:rPr>
            </w:pPr>
            <w:r>
              <w:rPr>
                <w:color w:val="000000"/>
                <w:sz w:val="20"/>
                <w:szCs w:val="20"/>
              </w:rPr>
            </w:r>
          </w:p>
        </w:tc>
        <w:tc>
          <w:tcPr>
            <w:tcW w:w="99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color w:val="000000"/>
                <w:sz w:val="20"/>
                <w:szCs w:val="20"/>
              </w:rPr>
            </w:pPr>
            <w:r>
              <w:rPr>
                <w:color w:val="000000"/>
                <w:sz w:val="20"/>
                <w:szCs w:val="20"/>
              </w:rPr>
            </w:r>
          </w:p>
        </w:tc>
        <w:tc>
          <w:tcPr>
            <w:tcW w:w="156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sz w:val="20"/>
                <w:szCs w:val="20"/>
              </w:rPr>
            </w:pPr>
            <w:r>
              <w:rPr>
                <w:color w:val="000000"/>
                <w:sz w:val="20"/>
                <w:szCs w:val="20"/>
              </w:rPr>
              <w:t>Выпускная аттестационная работа</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right"/>
              <w:rPr>
                <w:rFonts w:ascii="Calibri" w:hAnsi="Calibri" w:eastAsia="Calibri" w:cs="Calibri"/>
                <w:color w:val="000000"/>
                <w:sz w:val="20"/>
                <w:szCs w:val="20"/>
                <w:lang w:eastAsia="en-US"/>
              </w:rPr>
            </w:pPr>
            <w:r>
              <w:rPr>
                <w:rFonts w:eastAsia="Calibri" w:cs="Calibri" w:ascii="Calibri" w:hAnsi="Calibri"/>
                <w:color w:val="000000"/>
                <w:sz w:val="20"/>
                <w:szCs w:val="20"/>
                <w:lang w:eastAsia="en-US"/>
              </w:rPr>
            </w:r>
          </w:p>
        </w:tc>
        <w:tc>
          <w:tcPr>
            <w:tcW w:w="439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right"/>
              <w:rPr>
                <w:b/>
                <w:b/>
                <w:color w:val="000000"/>
                <w:sz w:val="20"/>
                <w:szCs w:val="20"/>
              </w:rPr>
            </w:pPr>
            <w:r>
              <w:rPr>
                <w:b/>
                <w:color w:val="000000"/>
                <w:sz w:val="20"/>
                <w:szCs w:val="20"/>
              </w:rPr>
              <w:t>Итого:</w:t>
            </w:r>
          </w:p>
        </w:tc>
        <w:tc>
          <w:tcPr>
            <w:tcW w:w="851"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sz w:val="20"/>
                <w:szCs w:val="20"/>
              </w:rPr>
            </w:pPr>
            <w:r>
              <w:rPr>
                <w:b/>
                <w:color w:val="000000"/>
                <w:sz w:val="20"/>
                <w:szCs w:val="20"/>
              </w:rPr>
              <w:t>108</w:t>
            </w:r>
          </w:p>
        </w:tc>
        <w:tc>
          <w:tcPr>
            <w:tcW w:w="99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sz w:val="20"/>
                <w:szCs w:val="20"/>
              </w:rPr>
            </w:pPr>
            <w:r>
              <w:rPr>
                <w:b/>
                <w:color w:val="000000"/>
                <w:sz w:val="20"/>
                <w:szCs w:val="20"/>
              </w:rPr>
              <w:t>36</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sz w:val="20"/>
                <w:szCs w:val="20"/>
              </w:rPr>
            </w:pPr>
            <w:r>
              <w:rPr>
                <w:b/>
                <w:color w:val="000000"/>
                <w:sz w:val="20"/>
                <w:szCs w:val="20"/>
              </w:rPr>
              <w:t>72</w:t>
            </w:r>
          </w:p>
        </w:tc>
        <w:tc>
          <w:tcPr>
            <w:tcW w:w="156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rPr>
                <w:b/>
                <w:b/>
                <w:color w:val="000000"/>
                <w:sz w:val="20"/>
                <w:szCs w:val="20"/>
              </w:rPr>
            </w:pPr>
            <w:r>
              <w:rPr>
                <w:b/>
                <w:color w:val="000000"/>
                <w:sz w:val="20"/>
                <w:szCs w:val="20"/>
              </w:rPr>
            </w:r>
          </w:p>
        </w:tc>
      </w:tr>
    </w:tbl>
    <w:p>
      <w:pPr>
        <w:pStyle w:val="Normal"/>
        <w:widowControl w:val="false"/>
        <w:autoSpaceDE w:val="false"/>
        <w:rPr>
          <w:rFonts w:eastAsia="Calibri"/>
          <w:color w:val="000000"/>
          <w:sz w:val="24"/>
          <w:szCs w:val="24"/>
        </w:rPr>
      </w:pPr>
      <w:r>
        <w:rPr>
          <w:rFonts w:eastAsia="Calibri"/>
          <w:color w:val="000000"/>
          <w:sz w:val="24"/>
          <w:szCs w:val="24"/>
        </w:rPr>
      </w:r>
    </w:p>
    <w:p>
      <w:pPr>
        <w:pStyle w:val="Normal"/>
        <w:widowControl w:val="false"/>
        <w:autoSpaceDE w:val="false"/>
        <w:rPr>
          <w:rFonts w:eastAsia="Calibri"/>
          <w:color w:val="000000"/>
          <w:sz w:val="24"/>
          <w:szCs w:val="24"/>
        </w:rPr>
      </w:pPr>
      <w:r>
        <w:rPr>
          <w:rFonts w:eastAsia="Calibri"/>
          <w:color w:val="000000"/>
          <w:sz w:val="24"/>
          <w:szCs w:val="24"/>
        </w:rPr>
        <w:t>Заведующий кафедрой педагогики семьи                                    Эрлих О.В.</w:t>
      </w:r>
    </w:p>
    <w:p>
      <w:pPr>
        <w:pStyle w:val="Normal"/>
        <w:widowControl w:val="false"/>
        <w:autoSpaceDE w:val="false"/>
        <w:jc w:val="center"/>
        <w:rPr>
          <w:i/>
          <w:i/>
          <w:color w:val="000000"/>
          <w:sz w:val="18"/>
          <w:szCs w:val="18"/>
        </w:rPr>
      </w:pPr>
      <w:r>
        <w:rPr>
          <w:rFonts w:eastAsia="Times New Roman"/>
          <w:i/>
          <w:color w:val="000000"/>
          <w:sz w:val="18"/>
          <w:szCs w:val="18"/>
        </w:rPr>
        <w:t xml:space="preserve">                      </w:t>
      </w:r>
      <w:r>
        <w:rPr>
          <w:rFonts w:eastAsia="Calibri"/>
          <w:i/>
          <w:color w:val="000000"/>
          <w:sz w:val="18"/>
          <w:szCs w:val="18"/>
        </w:rPr>
        <w:t xml:space="preserve">подпись  </w:t>
      </w:r>
    </w:p>
    <w:p>
      <w:pPr>
        <w:pStyle w:val="Normal"/>
        <w:widowControl w:val="false"/>
        <w:autoSpaceDE w:val="false"/>
        <w:rPr>
          <w:rFonts w:eastAsia="Calibri"/>
          <w:color w:val="000000"/>
          <w:sz w:val="18"/>
          <w:szCs w:val="18"/>
        </w:rPr>
      </w:pPr>
      <w:r>
        <w:rPr>
          <w:rFonts w:eastAsia="Calibri"/>
          <w:color w:val="000000"/>
          <w:sz w:val="18"/>
          <w:szCs w:val="18"/>
        </w:rPr>
        <w:t xml:space="preserve">_________________ </w:t>
      </w:r>
      <w:r>
        <w:rPr>
          <w:rFonts w:eastAsia="Calibri"/>
          <w:i/>
          <w:color w:val="000000"/>
          <w:sz w:val="18"/>
          <w:szCs w:val="18"/>
        </w:rPr>
        <w:t>(дата)</w:t>
      </w:r>
    </w:p>
    <w:p>
      <w:pPr>
        <w:pStyle w:val="Normal"/>
        <w:jc w:val="center"/>
        <w:rPr>
          <w:rFonts w:eastAsia="Calibri"/>
          <w:sz w:val="24"/>
          <w:szCs w:val="24"/>
          <w:lang w:eastAsia="en-US"/>
        </w:rPr>
      </w:pPr>
      <w:r>
        <w:rPr>
          <w:rFonts w:eastAsia="Calibri"/>
          <w:sz w:val="24"/>
          <w:szCs w:val="24"/>
          <w:lang w:eastAsia="en-US"/>
        </w:rPr>
        <w:t>ПРАВИТЕЛЬСТВО САНКТ-ПЕТЕРБУРГА</w:t>
      </w:r>
    </w:p>
    <w:p>
      <w:pPr>
        <w:pStyle w:val="Normal"/>
        <w:jc w:val="center"/>
        <w:rPr>
          <w:rFonts w:eastAsia="Calibri"/>
          <w:sz w:val="24"/>
          <w:szCs w:val="24"/>
          <w:lang w:eastAsia="en-US"/>
        </w:rPr>
      </w:pPr>
      <w:r>
        <w:rPr>
          <w:rFonts w:eastAsia="Calibri"/>
          <w:sz w:val="24"/>
          <w:szCs w:val="24"/>
          <w:lang w:eastAsia="en-US"/>
        </w:rPr>
        <w:t>КОМИТЕТ ПО ОБРАЗОВАНИЮ</w:t>
      </w:r>
    </w:p>
    <w:p>
      <w:pPr>
        <w:pStyle w:val="Normal"/>
        <w:jc w:val="center"/>
        <w:rPr>
          <w:rFonts w:eastAsia="Calibri"/>
          <w:sz w:val="24"/>
          <w:szCs w:val="24"/>
          <w:lang w:eastAsia="en-US"/>
        </w:rPr>
      </w:pPr>
      <w:r>
        <w:rPr>
          <w:rFonts w:eastAsia="Calibri"/>
          <w:sz w:val="24"/>
          <w:szCs w:val="24"/>
          <w:lang w:eastAsia="en-US"/>
        </w:rPr>
      </w:r>
    </w:p>
    <w:p>
      <w:pPr>
        <w:pStyle w:val="Normal"/>
        <w:jc w:val="center"/>
        <w:rPr>
          <w:rFonts w:eastAsia="Calibri"/>
          <w:spacing w:val="20"/>
          <w:sz w:val="24"/>
          <w:szCs w:val="24"/>
          <w:lang w:eastAsia="en-US"/>
        </w:rPr>
      </w:pPr>
      <w:r>
        <w:rPr>
          <w:rFonts w:eastAsia="Calibri"/>
          <w:spacing w:val="20"/>
          <w:sz w:val="24"/>
          <w:szCs w:val="24"/>
          <w:lang w:eastAsia="en-US"/>
        </w:rPr>
        <w:t>САНКТ-ПЕТЕРБУРГСКАЯ АКАДЕМИЯ</w:t>
      </w:r>
    </w:p>
    <w:p>
      <w:pPr>
        <w:pStyle w:val="Normal"/>
        <w:jc w:val="center"/>
        <w:rPr>
          <w:rFonts w:eastAsia="Calibri"/>
          <w:spacing w:val="20"/>
          <w:sz w:val="24"/>
          <w:szCs w:val="24"/>
          <w:lang w:eastAsia="en-US"/>
        </w:rPr>
      </w:pPr>
      <w:r>
        <w:rPr>
          <w:rFonts w:eastAsia="Calibri"/>
          <w:spacing w:val="20"/>
          <w:sz w:val="24"/>
          <w:szCs w:val="24"/>
          <w:lang w:eastAsia="en-US"/>
        </w:rPr>
        <w:t>ПОСТДИПЛОМНОГО ПЕДАГОГИЧЕСКОГО ОБРАЗОВАНИЯ</w:t>
      </w:r>
    </w:p>
    <w:p>
      <w:pPr>
        <w:pStyle w:val="Normal"/>
        <w:jc w:val="center"/>
        <w:rPr>
          <w:rFonts w:eastAsia="Calibri"/>
          <w:sz w:val="24"/>
          <w:szCs w:val="24"/>
          <w:lang w:eastAsia="en-US"/>
        </w:rPr>
      </w:pPr>
      <w:r>
        <w:rPr>
          <w:rFonts w:eastAsia="Calibri"/>
          <w:sz w:val="24"/>
          <w:szCs w:val="24"/>
          <w:lang w:eastAsia="en-US"/>
        </w:rPr>
        <w:t>Институт детства</w:t>
      </w:r>
    </w:p>
    <w:p>
      <w:pPr>
        <w:pStyle w:val="Normal"/>
        <w:jc w:val="center"/>
        <w:rPr>
          <w:rFonts w:eastAsia="Calibri"/>
          <w:sz w:val="24"/>
          <w:szCs w:val="24"/>
          <w:lang w:eastAsia="en-US"/>
        </w:rPr>
      </w:pPr>
      <w:r>
        <w:rPr>
          <w:rFonts w:eastAsia="Calibri"/>
          <w:sz w:val="24"/>
          <w:szCs w:val="24"/>
          <w:lang w:eastAsia="en-US"/>
        </w:rPr>
        <w:t>Кафедра педагогики семьи</w:t>
      </w:r>
    </w:p>
    <w:p>
      <w:pPr>
        <w:pStyle w:val="Normal"/>
        <w:jc w:val="center"/>
        <w:rPr>
          <w:b/>
          <w:b/>
          <w:sz w:val="24"/>
          <w:szCs w:val="24"/>
        </w:rPr>
      </w:pPr>
      <w:r>
        <w:rPr>
          <w:b/>
          <w:sz w:val="24"/>
          <w:szCs w:val="24"/>
        </w:rPr>
        <w:t>УЧЕБНО-ТЕМАТИЧЕСКИЙ ПЛАН</w:t>
      </w:r>
    </w:p>
    <w:p>
      <w:pPr>
        <w:pStyle w:val="Normal"/>
        <w:jc w:val="center"/>
        <w:rPr>
          <w:rFonts w:eastAsia="Calibri"/>
          <w:sz w:val="24"/>
          <w:szCs w:val="24"/>
          <w:lang w:eastAsia="en-US"/>
        </w:rPr>
      </w:pPr>
      <w:r>
        <w:rPr>
          <w:rFonts w:eastAsia="Calibri"/>
          <w:sz w:val="24"/>
          <w:szCs w:val="24"/>
          <w:lang w:eastAsia="en-US"/>
        </w:rPr>
        <w:t>дополнительной профессиональной программы повышения квалификации</w:t>
      </w:r>
    </w:p>
    <w:p>
      <w:pPr>
        <w:pStyle w:val="Normal"/>
        <w:jc w:val="center"/>
        <w:rPr/>
      </w:pPr>
      <w:r>
        <w:rPr>
          <w:b/>
          <w:color w:val="000000"/>
          <w:sz w:val="24"/>
          <w:szCs w:val="24"/>
        </w:rPr>
        <w:t>«</w:t>
      </w:r>
      <w:r>
        <w:rPr>
          <w:rFonts w:eastAsia="Calibri"/>
          <w:b/>
          <w:sz w:val="24"/>
          <w:szCs w:val="24"/>
          <w:lang w:eastAsia="en-US"/>
        </w:rPr>
        <w:t>Проектирование педагогических условий для преодоления синдрома дефицита внимания и гиперактивности у обучающихся в образовательном процессе</w:t>
      </w:r>
      <w:r>
        <w:rPr>
          <w:b/>
          <w:color w:val="000000"/>
          <w:sz w:val="24"/>
          <w:szCs w:val="24"/>
        </w:rPr>
        <w:t>»</w:t>
      </w:r>
    </w:p>
    <w:p>
      <w:pPr>
        <w:pStyle w:val="Normal"/>
        <w:jc w:val="center"/>
        <w:rPr>
          <w:b/>
          <w:b/>
          <w:color w:val="000000"/>
          <w:sz w:val="24"/>
          <w:szCs w:val="24"/>
        </w:rPr>
      </w:pPr>
      <w:r>
        <w:rPr>
          <w:b/>
          <w:color w:val="000000"/>
          <w:sz w:val="24"/>
          <w:szCs w:val="24"/>
        </w:rPr>
      </w:r>
    </w:p>
    <w:tbl>
      <w:tblPr>
        <w:tblW w:w="9616" w:type="dxa"/>
        <w:jc w:val="left"/>
        <w:tblInd w:w="-118" w:type="dxa"/>
        <w:tblLayout w:type="fixed"/>
        <w:tblCellMar>
          <w:top w:w="0" w:type="dxa"/>
          <w:left w:w="108" w:type="dxa"/>
          <w:bottom w:w="0" w:type="dxa"/>
          <w:right w:w="108" w:type="dxa"/>
        </w:tblCellMar>
      </w:tblPr>
      <w:tblGrid>
        <w:gridCol w:w="672"/>
        <w:gridCol w:w="3972"/>
        <w:gridCol w:w="1134"/>
        <w:gridCol w:w="993"/>
        <w:gridCol w:w="1275"/>
        <w:gridCol w:w="1570"/>
      </w:tblGrid>
      <w:tr>
        <w:trPr>
          <w:cantSplit w:val="true"/>
        </w:trPr>
        <w:tc>
          <w:tcPr>
            <w:tcW w:w="672"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lang w:eastAsia="en-US"/>
              </w:rPr>
            </w:pPr>
            <w:r>
              <w:rPr>
                <w:rFonts w:eastAsia="Calibri"/>
                <w:lang w:eastAsia="en-US"/>
              </w:rPr>
              <w:t>№</w:t>
            </w:r>
            <w:r>
              <w:rPr>
                <w:rFonts w:eastAsia="Times New Roman"/>
                <w:lang w:eastAsia="en-US"/>
              </w:rPr>
              <w:t xml:space="preserve"> </w:t>
            </w:r>
            <w:r>
              <w:rPr>
                <w:rFonts w:eastAsia="Calibri"/>
                <w:lang w:eastAsia="en-US"/>
              </w:rPr>
              <w:t>п/п</w:t>
            </w:r>
          </w:p>
        </w:tc>
        <w:tc>
          <w:tcPr>
            <w:tcW w:w="3972"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lang w:eastAsia="en-US"/>
              </w:rPr>
            </w:pPr>
            <w:r>
              <w:rPr>
                <w:rFonts w:eastAsia="Calibri"/>
                <w:lang w:eastAsia="en-US"/>
              </w:rPr>
              <w:t>Наименование разделов. дисциплин. модулей</w:t>
            </w:r>
          </w:p>
        </w:tc>
        <w:tc>
          <w:tcPr>
            <w:tcW w:w="1134"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lang w:eastAsia="en-US"/>
              </w:rPr>
            </w:pPr>
            <w:r>
              <w:rPr>
                <w:rFonts w:eastAsia="Calibri"/>
                <w:lang w:eastAsia="en-US"/>
              </w:rPr>
              <w:t>Всего часов</w:t>
            </w:r>
          </w:p>
        </w:tc>
        <w:tc>
          <w:tcPr>
            <w:tcW w:w="2268"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lang w:eastAsia="en-US"/>
              </w:rPr>
            </w:pPr>
            <w:r>
              <w:rPr>
                <w:rFonts w:eastAsia="Calibri"/>
                <w:lang w:eastAsia="en-US"/>
              </w:rPr>
              <w:t>В том числе:</w:t>
            </w:r>
          </w:p>
        </w:tc>
        <w:tc>
          <w:tcPr>
            <w:tcW w:w="1570"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lang w:eastAsia="en-US"/>
              </w:rPr>
            </w:pPr>
            <w:r>
              <w:rPr>
                <w:rFonts w:eastAsia="Calibri"/>
                <w:lang w:eastAsia="en-US"/>
              </w:rPr>
              <w:t>Форма</w:t>
            </w:r>
          </w:p>
          <w:p>
            <w:pPr>
              <w:pStyle w:val="Normal"/>
              <w:tabs>
                <w:tab w:val="clear" w:pos="708"/>
                <w:tab w:val="left" w:pos="7513" w:leader="none"/>
              </w:tabs>
              <w:jc w:val="both"/>
              <w:rPr>
                <w:rFonts w:eastAsia="Calibri"/>
                <w:lang w:eastAsia="en-US"/>
              </w:rPr>
            </w:pPr>
            <w:r>
              <w:rPr>
                <w:rFonts w:eastAsia="Calibri"/>
                <w:lang w:eastAsia="en-US"/>
              </w:rPr>
              <w:t>контроля</w:t>
            </w:r>
          </w:p>
        </w:tc>
      </w:tr>
      <w:tr>
        <w:trPr>
          <w:cantSplit w:val="true"/>
        </w:trPr>
        <w:tc>
          <w:tcPr>
            <w:tcW w:w="672"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Calibri" w:hAnsi="Calibri" w:eastAsia="Calibri" w:cs="Calibri"/>
                <w:lang w:eastAsia="en-US"/>
              </w:rPr>
            </w:pPr>
            <w:r>
              <w:rPr>
                <w:rFonts w:eastAsia="Calibri" w:cs="Calibri" w:ascii="Calibri" w:hAnsi="Calibri"/>
                <w:lang w:eastAsia="en-US"/>
              </w:rPr>
            </w:r>
          </w:p>
        </w:tc>
        <w:tc>
          <w:tcPr>
            <w:tcW w:w="3972"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rFonts w:eastAsia="Calibri"/>
                <w:lang w:eastAsia="en-US"/>
              </w:rPr>
            </w:pPr>
            <w:r>
              <w:rPr>
                <w:rFonts w:eastAsia="Calibri"/>
                <w:lang w:eastAsia="en-US"/>
              </w:rPr>
            </w:r>
          </w:p>
        </w:tc>
        <w:tc>
          <w:tcPr>
            <w:tcW w:w="1134"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rFonts w:eastAsia="Calibri"/>
                <w:lang w:eastAsia="en-US"/>
              </w:rPr>
            </w:pPr>
            <w:r>
              <w:rPr>
                <w:rFonts w:eastAsia="Calibri"/>
                <w:lang w:eastAsia="en-US"/>
              </w:rPr>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lang w:eastAsia="en-US"/>
              </w:rPr>
            </w:pPr>
            <w:r>
              <w:rPr>
                <w:rFonts w:eastAsia="Calibri"/>
                <w:lang w:eastAsia="en-US"/>
              </w:rPr>
              <w:t>Лекции</w:t>
            </w:r>
          </w:p>
        </w:tc>
        <w:tc>
          <w:tcPr>
            <w:tcW w:w="12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lang w:eastAsia="en-US"/>
              </w:rPr>
            </w:pPr>
            <w:r>
              <w:rPr>
                <w:rFonts w:eastAsia="Calibri"/>
                <w:lang w:eastAsia="en-US"/>
              </w:rPr>
              <w:t>Практические занятия</w:t>
            </w:r>
          </w:p>
        </w:tc>
        <w:tc>
          <w:tcPr>
            <w:tcW w:w="157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rFonts w:eastAsia="Calibri"/>
                <w:lang w:eastAsia="en-US"/>
              </w:rPr>
            </w:pPr>
            <w:r>
              <w:rPr>
                <w:rFonts w:eastAsia="Calibri"/>
                <w:lang w:eastAsia="en-US"/>
              </w:rPr>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b/>
                <w:b/>
                <w:lang w:eastAsia="en-US"/>
              </w:rPr>
            </w:pPr>
            <w:r>
              <w:rPr>
                <w:rFonts w:eastAsia="Calibri"/>
                <w:b/>
                <w:lang w:eastAsia="en-US"/>
              </w:rPr>
              <w:t>1.</w:t>
            </w:r>
          </w:p>
        </w:tc>
        <w:tc>
          <w:tcPr>
            <w:tcW w:w="39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b/>
                <w:b/>
              </w:rPr>
            </w:pPr>
            <w:r>
              <w:rPr>
                <w:b/>
              </w:rPr>
              <w:t>Профессиональная компетентность педагога ГОУ в работе с детьми с особыми образовательными потребностями</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36</w:t>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18</w:t>
            </w:r>
          </w:p>
        </w:tc>
        <w:tc>
          <w:tcPr>
            <w:tcW w:w="12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18</w:t>
            </w:r>
          </w:p>
        </w:tc>
        <w:tc>
          <w:tcPr>
            <w:tcW w:w="157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 xml:space="preserve">Экзамен </w:t>
            </w:r>
          </w:p>
        </w:tc>
      </w:tr>
      <w:tr>
        <w:trPr>
          <w:trHeight w:val="604" w:hRule="atLeast"/>
        </w:trPr>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lang w:eastAsia="en-US"/>
              </w:rPr>
            </w:pPr>
            <w:r>
              <w:rPr>
                <w:rFonts w:eastAsia="Calibri"/>
                <w:lang w:eastAsia="en-US"/>
              </w:rPr>
              <w:t>1.1.</w:t>
            </w:r>
          </w:p>
        </w:tc>
        <w:tc>
          <w:tcPr>
            <w:tcW w:w="39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pPr>
            <w:r>
              <w:rPr/>
              <w:t>Нормативная правовая база работы с детьми с особыми образовательными потребностями</w:t>
            </w:r>
            <w:r>
              <w:rPr>
                <w:rFonts w:eastAsia="Calibri"/>
                <w:color w:val="000000"/>
                <w:lang w:eastAsia="en-US"/>
              </w:rPr>
              <w:t>*</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pacing w:lineRule="auto" w:line="276" w:before="0" w:after="200"/>
              <w:jc w:val="center"/>
              <w:rPr>
                <w:rFonts w:eastAsia="Calibri"/>
                <w:color w:val="000000"/>
                <w:lang w:eastAsia="en-US"/>
              </w:rPr>
            </w:pPr>
            <w:r>
              <w:rPr>
                <w:rFonts w:eastAsia="Calibri"/>
                <w:color w:val="000000"/>
                <w:lang w:eastAsia="en-US"/>
              </w:rPr>
              <w:t>18</w:t>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pacing w:lineRule="auto" w:line="276" w:before="0" w:after="200"/>
              <w:jc w:val="center"/>
              <w:rPr>
                <w:rFonts w:eastAsia="Calibri"/>
                <w:color w:val="000000"/>
                <w:lang w:eastAsia="en-US"/>
              </w:rPr>
            </w:pPr>
            <w:r>
              <w:rPr>
                <w:rFonts w:eastAsia="Calibri"/>
                <w:color w:val="000000"/>
                <w:lang w:eastAsia="en-US"/>
              </w:rPr>
              <w:t>0</w:t>
            </w:r>
          </w:p>
        </w:tc>
        <w:tc>
          <w:tcPr>
            <w:tcW w:w="12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pacing w:lineRule="auto" w:line="276" w:before="0" w:after="200"/>
              <w:jc w:val="center"/>
              <w:rPr>
                <w:rFonts w:eastAsia="Calibri"/>
                <w:color w:val="000000"/>
                <w:lang w:eastAsia="en-US"/>
              </w:rPr>
            </w:pPr>
            <w:r>
              <w:rPr>
                <w:rFonts w:eastAsia="Calibri"/>
                <w:color w:val="000000"/>
                <w:lang w:eastAsia="en-US"/>
              </w:rPr>
              <w:t>18*</w:t>
            </w:r>
          </w:p>
        </w:tc>
        <w:tc>
          <w:tcPr>
            <w:tcW w:w="157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rFonts w:eastAsia="Calibri"/>
                <w:color w:val="000000"/>
                <w:lang w:eastAsia="en-US"/>
              </w:rPr>
            </w:pPr>
            <w:r>
              <w:rPr>
                <w:rFonts w:eastAsia="Calibri"/>
                <w:color w:val="000000"/>
                <w:lang w:eastAsia="en-US"/>
              </w:rPr>
            </w:r>
          </w:p>
        </w:tc>
      </w:tr>
      <w:tr>
        <w:trPr>
          <w:trHeight w:val="604" w:hRule="atLeast"/>
        </w:trPr>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lang w:eastAsia="en-US"/>
              </w:rPr>
            </w:pPr>
            <w:r>
              <w:rPr>
                <w:rFonts w:eastAsia="Calibri"/>
                <w:lang w:eastAsia="en-US"/>
              </w:rPr>
              <w:t>1.2</w:t>
            </w:r>
          </w:p>
        </w:tc>
        <w:tc>
          <w:tcPr>
            <w:tcW w:w="39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pPr>
            <w:r>
              <w:rPr/>
              <w:t xml:space="preserve">Научно-методическое обеспечение обучения и воспитания детей с особыми образовательными потребностями </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pacing w:lineRule="auto" w:line="276" w:before="0" w:after="200"/>
              <w:jc w:val="center"/>
              <w:rPr>
                <w:rFonts w:eastAsia="Calibri"/>
                <w:color w:val="000000"/>
                <w:lang w:eastAsia="en-US"/>
              </w:rPr>
            </w:pPr>
            <w:r>
              <w:rPr>
                <w:rFonts w:eastAsia="Calibri"/>
                <w:color w:val="000000"/>
                <w:lang w:eastAsia="en-US"/>
              </w:rPr>
              <w:t>18</w:t>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pacing w:lineRule="auto" w:line="276" w:before="0" w:after="200"/>
              <w:jc w:val="center"/>
              <w:rPr>
                <w:rFonts w:eastAsia="Calibri"/>
                <w:color w:val="000000"/>
                <w:lang w:eastAsia="en-US"/>
              </w:rPr>
            </w:pPr>
            <w:r>
              <w:rPr>
                <w:rFonts w:eastAsia="Calibri"/>
                <w:color w:val="000000"/>
                <w:lang w:eastAsia="en-US"/>
              </w:rPr>
              <w:t>18</w:t>
            </w:r>
          </w:p>
        </w:tc>
        <w:tc>
          <w:tcPr>
            <w:tcW w:w="12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pacing w:lineRule="auto" w:line="276" w:before="0" w:after="200"/>
              <w:jc w:val="center"/>
              <w:rPr>
                <w:rFonts w:eastAsia="Calibri"/>
                <w:color w:val="000000"/>
                <w:lang w:eastAsia="en-US"/>
              </w:rPr>
            </w:pPr>
            <w:r>
              <w:rPr>
                <w:rFonts w:eastAsia="Calibri"/>
                <w:color w:val="000000"/>
                <w:lang w:eastAsia="en-US"/>
              </w:rPr>
              <w:t>0</w:t>
            </w:r>
          </w:p>
        </w:tc>
        <w:tc>
          <w:tcPr>
            <w:tcW w:w="157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rFonts w:eastAsia="Calibri"/>
                <w:color w:val="000000"/>
                <w:lang w:eastAsia="en-US"/>
              </w:rPr>
            </w:pPr>
            <w:r>
              <w:rPr>
                <w:rFonts w:eastAsia="Calibri"/>
                <w:color w:val="000000"/>
                <w:lang w:eastAsia="en-US"/>
              </w:rPr>
            </w:r>
          </w:p>
        </w:tc>
      </w:tr>
      <w:tr>
        <w:trPr>
          <w:trHeight w:val="732" w:hRule="atLeast"/>
        </w:trPr>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b/>
                <w:b/>
                <w:lang w:eastAsia="en-US"/>
              </w:rPr>
            </w:pPr>
            <w:r>
              <w:rPr>
                <w:rFonts w:eastAsia="Calibri"/>
                <w:b/>
                <w:lang w:eastAsia="en-US"/>
              </w:rPr>
              <w:t>2</w:t>
            </w:r>
          </w:p>
        </w:tc>
        <w:tc>
          <w:tcPr>
            <w:tcW w:w="39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b/>
                <w:b/>
              </w:rPr>
            </w:pPr>
            <w:r>
              <w:rPr>
                <w:b/>
              </w:rPr>
              <w:t xml:space="preserve">Научно-теоретические подходы к обучению и воспитанию детей с СДВГ </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36</w:t>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12</w:t>
            </w:r>
          </w:p>
        </w:tc>
        <w:tc>
          <w:tcPr>
            <w:tcW w:w="12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24</w:t>
            </w:r>
          </w:p>
        </w:tc>
        <w:tc>
          <w:tcPr>
            <w:tcW w:w="157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Экзамен</w:t>
            </w:r>
          </w:p>
        </w:tc>
      </w:tr>
      <w:tr>
        <w:trPr>
          <w:trHeight w:val="732" w:hRule="atLeast"/>
        </w:trPr>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lang w:eastAsia="en-US"/>
              </w:rPr>
            </w:pPr>
            <w:r>
              <w:rPr>
                <w:rFonts w:eastAsia="Calibri"/>
                <w:lang w:eastAsia="en-US"/>
              </w:rPr>
              <w:t>2.1.</w:t>
            </w:r>
          </w:p>
        </w:tc>
        <w:tc>
          <w:tcPr>
            <w:tcW w:w="3972" w:type="dxa"/>
            <w:tcBorders>
              <w:top w:val="single" w:sz="4" w:space="0" w:color="000000"/>
              <w:left w:val="single" w:sz="4" w:space="0" w:color="000000"/>
              <w:bottom w:val="single" w:sz="4" w:space="0" w:color="000000"/>
              <w:right w:val="single" w:sz="4" w:space="0" w:color="000000"/>
            </w:tcBorders>
          </w:tcPr>
          <w:p>
            <w:pPr>
              <w:pStyle w:val="Normal"/>
              <w:jc w:val="both"/>
              <w:rPr>
                <w:rFonts w:eastAsia="Calibri"/>
                <w:lang w:eastAsia="en-US"/>
              </w:rPr>
            </w:pPr>
            <w:r>
              <w:rPr>
                <w:rFonts w:eastAsia="Calibri"/>
                <w:lang w:eastAsia="en-US"/>
              </w:rPr>
              <w:t>Психофизиологические особенности детей с СДВГ</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18</w:t>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6</w:t>
            </w:r>
          </w:p>
        </w:tc>
        <w:tc>
          <w:tcPr>
            <w:tcW w:w="12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12</w:t>
            </w:r>
          </w:p>
        </w:tc>
        <w:tc>
          <w:tcPr>
            <w:tcW w:w="157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both"/>
              <w:rPr>
                <w:rFonts w:eastAsia="Calibri"/>
                <w:b/>
                <w:b/>
                <w:lang w:eastAsia="en-US"/>
              </w:rPr>
            </w:pPr>
            <w:r>
              <w:rPr>
                <w:rFonts w:eastAsia="Calibri"/>
                <w:b/>
                <w:lang w:eastAsia="en-US"/>
              </w:rPr>
            </w:r>
          </w:p>
        </w:tc>
      </w:tr>
      <w:tr>
        <w:trPr>
          <w:trHeight w:val="274" w:hRule="atLeast"/>
        </w:trPr>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lang w:eastAsia="en-US"/>
              </w:rPr>
            </w:pPr>
            <w:r>
              <w:rPr>
                <w:rFonts w:eastAsia="Calibri"/>
                <w:lang w:eastAsia="en-US"/>
              </w:rPr>
              <w:t>2.2</w:t>
            </w:r>
          </w:p>
        </w:tc>
        <w:tc>
          <w:tcPr>
            <w:tcW w:w="39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lang w:eastAsia="en-US"/>
              </w:rPr>
            </w:pPr>
            <w:r>
              <w:rPr>
                <w:rFonts w:eastAsia="Calibri"/>
                <w:lang w:eastAsia="en-US"/>
              </w:rPr>
              <w:t>Особенности личности и межличностных отношений детей с СДВГ</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18</w:t>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6</w:t>
            </w:r>
          </w:p>
        </w:tc>
        <w:tc>
          <w:tcPr>
            <w:tcW w:w="12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12</w:t>
            </w:r>
          </w:p>
        </w:tc>
        <w:tc>
          <w:tcPr>
            <w:tcW w:w="157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both"/>
              <w:rPr>
                <w:rFonts w:eastAsia="Calibri"/>
                <w:b/>
                <w:b/>
                <w:lang w:eastAsia="en-US"/>
              </w:rPr>
            </w:pPr>
            <w:r>
              <w:rPr>
                <w:rFonts w:eastAsia="Calibri"/>
                <w:b/>
                <w:lang w:eastAsia="en-US"/>
              </w:rPr>
            </w:r>
          </w:p>
        </w:tc>
      </w:tr>
      <w:tr>
        <w:trPr>
          <w:trHeight w:val="732" w:hRule="atLeast"/>
        </w:trPr>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b/>
                <w:b/>
                <w:lang w:eastAsia="en-US"/>
              </w:rPr>
            </w:pPr>
            <w:r>
              <w:rPr>
                <w:rFonts w:eastAsia="Calibri"/>
                <w:b/>
                <w:lang w:eastAsia="en-US"/>
              </w:rPr>
              <w:t>3</w:t>
            </w:r>
          </w:p>
        </w:tc>
        <w:tc>
          <w:tcPr>
            <w:tcW w:w="39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b/>
                <w:b/>
                <w:color w:val="FF0000"/>
              </w:rPr>
            </w:pPr>
            <w:r>
              <w:rPr>
                <w:b/>
              </w:rPr>
              <w:t>Технологии п</w:t>
            </w:r>
            <w:r>
              <w:rPr>
                <w:rFonts w:eastAsia="Calibri"/>
                <w:b/>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36</w:t>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6</w:t>
            </w:r>
          </w:p>
        </w:tc>
        <w:tc>
          <w:tcPr>
            <w:tcW w:w="12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30</w:t>
            </w:r>
          </w:p>
        </w:tc>
        <w:tc>
          <w:tcPr>
            <w:tcW w:w="157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Экзамен</w:t>
            </w:r>
          </w:p>
        </w:tc>
      </w:tr>
      <w:tr>
        <w:trPr>
          <w:trHeight w:val="732" w:hRule="atLeast"/>
        </w:trPr>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b/>
                <w:b/>
                <w:lang w:eastAsia="en-US"/>
              </w:rPr>
            </w:pPr>
            <w:r>
              <w:rPr>
                <w:rFonts w:eastAsia="Calibri"/>
                <w:b/>
                <w:lang w:eastAsia="en-US"/>
              </w:rPr>
              <w:t>3.1.</w:t>
            </w:r>
          </w:p>
        </w:tc>
        <w:tc>
          <w:tcPr>
            <w:tcW w:w="39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lang w:eastAsia="en-US"/>
              </w:rPr>
            </w:pPr>
            <w:r>
              <w:rPr>
                <w:rFonts w:eastAsia="Calibri"/>
                <w:lang w:eastAsia="en-US"/>
              </w:rPr>
              <w:t>Технологии проектирования педагогических условий в образовательном процессе</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18</w:t>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6</w:t>
            </w:r>
          </w:p>
        </w:tc>
        <w:tc>
          <w:tcPr>
            <w:tcW w:w="12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12</w:t>
            </w:r>
          </w:p>
        </w:tc>
        <w:tc>
          <w:tcPr>
            <w:tcW w:w="15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eastAsia="Calibri"/>
                <w:b/>
                <w:b/>
                <w:lang w:eastAsia="en-US"/>
              </w:rPr>
            </w:pPr>
            <w:r>
              <w:rPr>
                <w:rFonts w:eastAsia="Calibri"/>
                <w:b/>
                <w:lang w:eastAsia="en-US"/>
              </w:rPr>
            </w:r>
          </w:p>
        </w:tc>
      </w:tr>
      <w:tr>
        <w:trPr>
          <w:trHeight w:val="732" w:hRule="atLeast"/>
        </w:trPr>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b/>
                <w:b/>
                <w:lang w:eastAsia="en-US"/>
              </w:rPr>
            </w:pPr>
            <w:r>
              <w:rPr>
                <w:rFonts w:eastAsia="Calibri"/>
                <w:b/>
                <w:lang w:eastAsia="en-US"/>
              </w:rPr>
              <w:t>3.2.</w:t>
            </w:r>
          </w:p>
        </w:tc>
        <w:tc>
          <w:tcPr>
            <w:tcW w:w="39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lang w:eastAsia="en-US"/>
              </w:rPr>
            </w:pPr>
            <w:r>
              <w:rPr>
                <w:rFonts w:eastAsia="Calibri"/>
                <w:lang w:eastAsia="en-US"/>
              </w:rPr>
              <w:t>Технологии индивидуализации образовательного процесса для преодоления СДВГ у обучающихся</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rPr>
            </w:pPr>
            <w:r>
              <w:rPr>
                <w:color w:val="000000"/>
              </w:rPr>
              <w:t>18</w:t>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rPr>
            </w:pPr>
            <w:r>
              <w:rPr>
                <w:color w:val="000000"/>
              </w:rPr>
              <w:t>0</w:t>
            </w:r>
          </w:p>
        </w:tc>
        <w:tc>
          <w:tcPr>
            <w:tcW w:w="12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18</w:t>
            </w:r>
          </w:p>
        </w:tc>
        <w:tc>
          <w:tcPr>
            <w:tcW w:w="15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eastAsia="Calibri"/>
                <w:b/>
                <w:b/>
                <w:lang w:eastAsia="en-US"/>
              </w:rPr>
            </w:pPr>
            <w:r>
              <w:rPr>
                <w:rFonts w:eastAsia="Calibri"/>
                <w:b/>
                <w:lang w:eastAsia="en-US"/>
              </w:rPr>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b/>
                <w:b/>
                <w:lang w:eastAsia="en-US"/>
              </w:rPr>
            </w:pPr>
            <w:r>
              <w:rPr>
                <w:rFonts w:eastAsia="Calibri"/>
                <w:b/>
                <w:lang w:eastAsia="en-US"/>
              </w:rPr>
              <w:t>4.</w:t>
            </w:r>
          </w:p>
        </w:tc>
        <w:tc>
          <w:tcPr>
            <w:tcW w:w="3972" w:type="dxa"/>
            <w:tcBorders>
              <w:top w:val="single" w:sz="4" w:space="0" w:color="000000"/>
              <w:left w:val="single" w:sz="4" w:space="0" w:color="000000"/>
              <w:bottom w:val="single" w:sz="4" w:space="0" w:color="000000"/>
              <w:right w:val="single" w:sz="4" w:space="0" w:color="000000"/>
            </w:tcBorders>
          </w:tcPr>
          <w:p>
            <w:pPr>
              <w:pStyle w:val="Normal"/>
              <w:rPr>
                <w:rFonts w:eastAsia="Calibri"/>
                <w:lang w:eastAsia="en-US"/>
              </w:rPr>
            </w:pPr>
            <w:r>
              <w:rPr>
                <w:rFonts w:eastAsia="Calibri"/>
                <w:lang w:eastAsia="en-US"/>
              </w:rPr>
              <w:t>Итоговый контроль</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rFonts w:eastAsia="Calibri"/>
                <w:color w:val="000000"/>
                <w:lang w:eastAsia="en-US"/>
              </w:rPr>
            </w:pPr>
            <w:r>
              <w:rPr>
                <w:rFonts w:eastAsia="Calibri"/>
                <w:color w:val="000000"/>
                <w:lang w:eastAsia="en-US"/>
              </w:rPr>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color w:val="000000"/>
              </w:rPr>
            </w:pPr>
            <w:r>
              <w:rPr>
                <w:color w:val="000000"/>
              </w:rPr>
            </w:r>
          </w:p>
        </w:tc>
        <w:tc>
          <w:tcPr>
            <w:tcW w:w="1275"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Calibri"/>
                <w:color w:val="000000"/>
                <w:lang w:eastAsia="en-US"/>
              </w:rPr>
            </w:pPr>
            <w:r>
              <w:rPr>
                <w:rFonts w:eastAsia="Calibri"/>
                <w:color w:val="000000"/>
                <w:lang w:eastAsia="en-US"/>
              </w:rPr>
            </w:r>
          </w:p>
        </w:tc>
        <w:tc>
          <w:tcPr>
            <w:tcW w:w="157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b/>
                <w:b/>
                <w:lang w:eastAsia="en-US"/>
              </w:rPr>
            </w:pPr>
            <w:r>
              <w:rPr>
                <w:rFonts w:eastAsia="Calibri"/>
                <w:b/>
                <w:lang w:eastAsia="en-US"/>
              </w:rPr>
              <w:t>Выпускная аттестационная работа</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both"/>
              <w:rPr>
                <w:rFonts w:ascii="Calibri" w:hAnsi="Calibri" w:eastAsia="Calibri" w:cs="Calibri"/>
                <w:b/>
                <w:b/>
                <w:lang w:eastAsia="en-US"/>
              </w:rPr>
            </w:pPr>
            <w:r>
              <w:rPr>
                <w:rFonts w:eastAsia="Calibri" w:cs="Calibri" w:ascii="Calibri" w:hAnsi="Calibri"/>
                <w:b/>
                <w:lang w:eastAsia="en-US"/>
              </w:rPr>
            </w:r>
          </w:p>
        </w:tc>
        <w:tc>
          <w:tcPr>
            <w:tcW w:w="39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b/>
                <w:b/>
                <w:lang w:eastAsia="en-US"/>
              </w:rPr>
            </w:pPr>
            <w:r>
              <w:rPr>
                <w:rFonts w:eastAsia="Calibri"/>
                <w:b/>
                <w:lang w:eastAsia="en-US"/>
              </w:rPr>
              <w:t>ИТОГО:</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108</w:t>
            </w:r>
          </w:p>
        </w:tc>
        <w:tc>
          <w:tcPr>
            <w:tcW w:w="99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36</w:t>
            </w:r>
          </w:p>
        </w:tc>
        <w:tc>
          <w:tcPr>
            <w:tcW w:w="12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b/>
                <w:b/>
                <w:color w:val="000000"/>
              </w:rPr>
            </w:pPr>
            <w:r>
              <w:rPr>
                <w:b/>
                <w:color w:val="000000"/>
              </w:rPr>
              <w:t>72</w:t>
            </w:r>
          </w:p>
        </w:tc>
        <w:tc>
          <w:tcPr>
            <w:tcW w:w="157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center"/>
              <w:rPr>
                <w:b/>
                <w:b/>
                <w:color w:val="000000"/>
              </w:rPr>
            </w:pPr>
            <w:r>
              <w:rPr>
                <w:b/>
                <w:color w:val="000000"/>
              </w:rPr>
            </w:r>
          </w:p>
        </w:tc>
      </w:tr>
    </w:tbl>
    <w:p>
      <w:pPr>
        <w:pStyle w:val="Normal"/>
        <w:tabs>
          <w:tab w:val="clear" w:pos="708"/>
          <w:tab w:val="left" w:pos="7513" w:leader="none"/>
        </w:tabs>
        <w:spacing w:lineRule="auto" w:line="276" w:before="0" w:after="200"/>
        <w:jc w:val="both"/>
        <w:rPr>
          <w:rFonts w:eastAsia="Calibri"/>
          <w:color w:val="000000"/>
          <w:lang w:eastAsia="en-US"/>
        </w:rPr>
      </w:pPr>
      <w:r>
        <w:rPr>
          <w:rFonts w:eastAsia="Calibri"/>
          <w:color w:val="000000"/>
          <w:lang w:eastAsia="en-US"/>
        </w:rPr>
        <w:t>*Учебный модуль реализуется в дистанционном формате</w:t>
      </w:r>
    </w:p>
    <w:p>
      <w:pPr>
        <w:pStyle w:val="Normal"/>
        <w:jc w:val="both"/>
        <w:rPr>
          <w:sz w:val="24"/>
          <w:szCs w:val="24"/>
        </w:rPr>
      </w:pPr>
      <w:r>
        <w:rPr>
          <w:sz w:val="24"/>
          <w:szCs w:val="24"/>
        </w:rPr>
        <w:t>Заведующий кафедрой педагогики семьи________________ О.В. Эрлих</w:t>
      </w:r>
      <w:r>
        <w:br w:type="page"/>
      </w:r>
    </w:p>
    <w:p>
      <w:pPr>
        <w:pStyle w:val="Normal"/>
        <w:spacing w:lineRule="auto" w:line="360" w:before="0" w:after="0"/>
        <w:ind w:left="720" w:hanging="0"/>
        <w:contextualSpacing/>
        <w:rPr>
          <w:rFonts w:eastAsia="Calibri"/>
          <w:b/>
          <w:b/>
          <w:i/>
          <w:i/>
          <w:color w:val="000000"/>
          <w:sz w:val="28"/>
          <w:szCs w:val="28"/>
          <w:u w:val="single"/>
        </w:rPr>
      </w:pPr>
      <w:r>
        <w:rPr>
          <w:rFonts w:eastAsia="Calibri"/>
          <w:b/>
          <w:i/>
          <w:color w:val="000000"/>
          <w:sz w:val="28"/>
          <w:szCs w:val="28"/>
          <w:u w:val="single"/>
        </w:rPr>
        <w:t xml:space="preserve">Пояснительная записка </w:t>
      </w:r>
    </w:p>
    <w:p>
      <w:pPr>
        <w:pStyle w:val="Normal"/>
        <w:ind w:firstLine="567"/>
        <w:jc w:val="both"/>
        <w:rPr/>
      </w:pPr>
      <w:r>
        <w:rPr>
          <w:rFonts w:eastAsia="Calibri"/>
          <w:sz w:val="24"/>
          <w:szCs w:val="24"/>
          <w:lang w:eastAsia="en-US"/>
        </w:rPr>
        <w:t xml:space="preserve">Образовательная программа повышения квалификации </w:t>
      </w:r>
      <w:r>
        <w:rPr>
          <w:b/>
          <w:color w:val="000000"/>
          <w:sz w:val="24"/>
          <w:szCs w:val="24"/>
        </w:rPr>
        <w:t>«</w:t>
      </w:r>
      <w:r>
        <w:rPr>
          <w:rFonts w:eastAsia="Calibri"/>
          <w:sz w:val="24"/>
          <w:szCs w:val="24"/>
          <w:lang w:eastAsia="en-US"/>
        </w:rPr>
        <w:t>Проектирование педагогических условий для преодоления синдрома дефицита внимания и гиперактивности у обучающихся в образовательном процессе</w:t>
      </w:r>
      <w:r>
        <w:rPr>
          <w:color w:val="000000"/>
          <w:sz w:val="24"/>
          <w:szCs w:val="24"/>
        </w:rPr>
        <w:t xml:space="preserve">» </w:t>
      </w:r>
      <w:r>
        <w:rPr>
          <w:rFonts w:eastAsia="Calibri"/>
          <w:sz w:val="24"/>
          <w:szCs w:val="24"/>
          <w:lang w:eastAsia="en-US"/>
        </w:rPr>
        <w:t xml:space="preserve">направлена на повышение профессиональной компетентности педагогов образовательных организаций в сфере оказания педагогической поддержки обучающимся с синдромом дефицита внимания и гиперактивности в образовательном процессе. </w:t>
      </w:r>
    </w:p>
    <w:p>
      <w:pPr>
        <w:pStyle w:val="Normal"/>
        <w:ind w:firstLine="567"/>
        <w:jc w:val="both"/>
        <w:rPr/>
      </w:pPr>
      <w:r>
        <w:rPr>
          <w:rFonts w:eastAsia="Calibri"/>
          <w:color w:val="000000"/>
          <w:sz w:val="24"/>
          <w:szCs w:val="24"/>
          <w:lang w:eastAsia="en-US"/>
        </w:rPr>
        <w:t>Актуальность и практическая значимость ДПП для педагогов образовательных организаций обусловлена тем, что</w:t>
      </w:r>
      <w:r>
        <w:rPr>
          <w:rFonts w:eastAsia="Calibri"/>
          <w:b/>
          <w:color w:val="000000"/>
          <w:sz w:val="24"/>
          <w:szCs w:val="24"/>
          <w:lang w:eastAsia="en-US"/>
        </w:rPr>
        <w:t xml:space="preserve"> </w:t>
      </w:r>
      <w:r>
        <w:rPr>
          <w:rFonts w:eastAsia="Calibri"/>
          <w:color w:val="000000"/>
          <w:sz w:val="24"/>
          <w:szCs w:val="24"/>
          <w:lang w:eastAsia="en-US"/>
        </w:rPr>
        <w:t>с</w:t>
      </w:r>
      <w:r>
        <w:rPr>
          <w:rFonts w:eastAsia="Calibri"/>
          <w:sz w:val="24"/>
          <w:szCs w:val="24"/>
          <w:lang w:eastAsia="en-US"/>
        </w:rPr>
        <w:t>одержание программы построено в соответствии с современными нормативными требованиями и актуальной ситуацией с воспитанием и обучением детей с особыми образовательными потребностями. В ходе теоретических занятий рассматриваются вопросы н</w:t>
      </w:r>
      <w:r>
        <w:rPr>
          <w:sz w:val="24"/>
          <w:szCs w:val="24"/>
        </w:rPr>
        <w:t>аучно-методического обеспечения обучения и воспитания детей с особыми образовательными потребностями</w:t>
      </w:r>
      <w:r>
        <w:rPr>
          <w:rFonts w:eastAsia="Calibri"/>
          <w:sz w:val="24"/>
          <w:szCs w:val="24"/>
          <w:lang w:eastAsia="en-US"/>
        </w:rPr>
        <w:t xml:space="preserve"> в соответствии со стратегическим документами системы образования, Постановление Правительства РФ от 26.12.2017 № 1642 "Об утверждении государственной программы Российской Федерации "Развитие образования". Рассматриваются возрастные особенности обучающихся, психофизиологические особенности детей с СДВГ, технологии индивидуализации образовательного процесса для преодоления СДВГ у обучающихся. На практических занятиях планируется освоение современных инновационных технологий </w:t>
      </w:r>
      <w:r>
        <w:rPr>
          <w:sz w:val="24"/>
          <w:szCs w:val="24"/>
        </w:rPr>
        <w:t>п</w:t>
      </w:r>
      <w:r>
        <w:rPr>
          <w:rFonts w:eastAsia="Calibri"/>
          <w:sz w:val="24"/>
          <w:szCs w:val="24"/>
          <w:lang w:eastAsia="en-US"/>
        </w:rPr>
        <w:t xml:space="preserve">роектирования педагогических условий для преодоления синдрома дефицита внимания и гиперактивности у обучающихся в образовательном процессе в соответствии с потребностями обучающихся с СДВГ и современной нормативной правовой базой. </w:t>
      </w:r>
    </w:p>
    <w:p>
      <w:pPr>
        <w:pStyle w:val="Normal"/>
        <w:spacing w:before="0" w:after="0"/>
        <w:ind w:left="720" w:hanging="0"/>
        <w:contextualSpacing/>
        <w:rPr>
          <w:rFonts w:eastAsia="Calibri"/>
          <w:b/>
          <w:b/>
          <w:i/>
          <w:i/>
          <w:color w:val="000000"/>
          <w:sz w:val="28"/>
          <w:szCs w:val="28"/>
          <w:u w:val="single"/>
          <w:lang w:eastAsia="en-US"/>
        </w:rPr>
      </w:pPr>
      <w:r>
        <w:rPr>
          <w:rFonts w:eastAsia="Calibri"/>
          <w:b/>
          <w:i/>
          <w:color w:val="000000"/>
          <w:sz w:val="28"/>
          <w:szCs w:val="28"/>
          <w:u w:val="single"/>
          <w:lang w:eastAsia="en-US"/>
        </w:rPr>
      </w:r>
    </w:p>
    <w:p>
      <w:pPr>
        <w:pStyle w:val="Normal"/>
        <w:spacing w:before="0" w:after="0"/>
        <w:ind w:left="720" w:hanging="0"/>
        <w:contextualSpacing/>
        <w:rPr/>
      </w:pPr>
      <w:r>
        <w:rPr>
          <w:rFonts w:eastAsia="Calibri"/>
          <w:b/>
          <w:i/>
          <w:color w:val="000000"/>
          <w:sz w:val="24"/>
          <w:szCs w:val="24"/>
        </w:rPr>
        <w:t>ПС как основа разработки ДПП</w:t>
      </w:r>
      <w:r>
        <w:rPr>
          <w:rFonts w:eastAsia="Calibri"/>
          <w:b/>
          <w:color w:val="000000"/>
          <w:sz w:val="24"/>
          <w:szCs w:val="24"/>
        </w:rPr>
        <w:t>:</w:t>
      </w:r>
    </w:p>
    <w:p>
      <w:pPr>
        <w:pStyle w:val="Normal"/>
        <w:spacing w:before="0" w:after="0"/>
        <w:ind w:left="720" w:hanging="0"/>
        <w:contextualSpacing/>
        <w:rPr>
          <w:rFonts w:eastAsia="Calibri"/>
          <w:b/>
          <w:b/>
          <w:color w:val="000000"/>
          <w:sz w:val="24"/>
          <w:szCs w:val="24"/>
        </w:rPr>
      </w:pPr>
      <w:r>
        <w:rPr>
          <w:rFonts w:eastAsia="Calibri"/>
          <w:b/>
          <w:color w:val="000000"/>
          <w:sz w:val="24"/>
          <w:szCs w:val="24"/>
        </w:rPr>
      </w:r>
    </w:p>
    <w:tbl>
      <w:tblPr>
        <w:tblW w:w="9593" w:type="dxa"/>
        <w:jc w:val="left"/>
        <w:tblInd w:w="-118" w:type="dxa"/>
        <w:tblLayout w:type="fixed"/>
        <w:tblCellMar>
          <w:top w:w="0" w:type="dxa"/>
          <w:left w:w="108" w:type="dxa"/>
          <w:bottom w:w="0" w:type="dxa"/>
          <w:right w:w="108" w:type="dxa"/>
        </w:tblCellMar>
      </w:tblPr>
      <w:tblGrid>
        <w:gridCol w:w="2802"/>
        <w:gridCol w:w="2126"/>
        <w:gridCol w:w="2977"/>
        <w:gridCol w:w="1688"/>
      </w:tblGrid>
      <w:tr>
        <w:trPr/>
        <w:tc>
          <w:tcPr>
            <w:tcW w:w="9593" w:type="dxa"/>
            <w:gridSpan w:val="4"/>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both"/>
              <w:rPr>
                <w:rFonts w:eastAsia="Calibri"/>
                <w:b/>
                <w:b/>
                <w:color w:val="000000"/>
              </w:rPr>
            </w:pPr>
            <w:r>
              <w:rPr>
                <w:rFonts w:eastAsia="Calibri"/>
                <w:color w:val="000000"/>
              </w:rPr>
              <w:t xml:space="preserve">В основу обучения по данной ДПП положен профессиональный стандарт: "Педагог </w:t>
            </w:r>
            <w:r>
              <w:rPr>
                <w:rFonts w:eastAsia="Calibri"/>
              </w:rPr>
              <w:t>(педагогическая деятельность в сфере дошкольного, начального общего, основного общего, среднего общего образования) (воспитатель, учитель)" Приказ Минтруда России от 18.10.2013 № 544н (с изм. от 25.12.2014)</w:t>
            </w:r>
          </w:p>
        </w:tc>
      </w:tr>
      <w:tr>
        <w:trPr/>
        <w:tc>
          <w:tcPr>
            <w:tcW w:w="9593" w:type="dxa"/>
            <w:gridSpan w:val="4"/>
            <w:tcBorders>
              <w:top w:val="single" w:sz="4" w:space="0" w:color="000000"/>
              <w:left w:val="single" w:sz="4" w:space="0" w:color="000000"/>
              <w:bottom w:val="single" w:sz="4" w:space="0" w:color="000000"/>
              <w:right w:val="single" w:sz="4" w:space="0" w:color="000000"/>
            </w:tcBorders>
          </w:tcPr>
          <w:p>
            <w:pPr>
              <w:pStyle w:val="Normal"/>
              <w:rPr>
                <w:rFonts w:eastAsia="Calibri"/>
                <w:color w:val="000000"/>
                <w:lang w:eastAsia="en-US"/>
              </w:rPr>
            </w:pPr>
            <w:r>
              <w:rPr>
                <w:rFonts w:eastAsia="Calibri"/>
                <w:color w:val="000000"/>
                <w:lang w:eastAsia="en-US"/>
              </w:rPr>
              <w:t>Планируемые результаты обучения направлены на выполнение слушателем:</w:t>
            </w:r>
          </w:p>
        </w:tc>
      </w:tr>
      <w:tr>
        <w:trPr/>
        <w:tc>
          <w:tcPr>
            <w:tcW w:w="2802"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center"/>
              <w:rPr>
                <w:rFonts w:eastAsia="Calibri"/>
                <w:color w:val="000000"/>
              </w:rPr>
            </w:pPr>
            <w:r>
              <w:rPr>
                <w:rFonts w:eastAsia="Calibri"/>
                <w:color w:val="000000"/>
              </w:rPr>
              <w:t>Обобщенных трудовых функций (ОТФ)</w:t>
            </w:r>
          </w:p>
        </w:tc>
        <w:tc>
          <w:tcPr>
            <w:tcW w:w="212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center"/>
              <w:rPr>
                <w:rFonts w:eastAsia="Calibri"/>
                <w:color w:val="000000"/>
              </w:rPr>
            </w:pPr>
            <w:r>
              <w:rPr>
                <w:rFonts w:eastAsia="Calibri"/>
                <w:color w:val="000000"/>
              </w:rPr>
              <w:t>Трудовых функций (ТФ)</w:t>
            </w:r>
          </w:p>
        </w:tc>
        <w:tc>
          <w:tcPr>
            <w:tcW w:w="2977"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center"/>
              <w:rPr>
                <w:rFonts w:eastAsia="Calibri"/>
                <w:color w:val="000000"/>
              </w:rPr>
            </w:pPr>
            <w:r>
              <w:rPr>
                <w:rFonts w:eastAsia="Calibri"/>
                <w:color w:val="000000"/>
              </w:rPr>
              <w:t>Трудовых действий (ТД)</w:t>
            </w:r>
          </w:p>
        </w:tc>
        <w:tc>
          <w:tcPr>
            <w:tcW w:w="1688"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center"/>
              <w:rPr>
                <w:rFonts w:eastAsia="Calibri"/>
                <w:color w:val="000000"/>
              </w:rPr>
            </w:pPr>
            <w:r>
              <w:rPr>
                <w:rFonts w:eastAsia="Calibri"/>
                <w:color w:val="000000"/>
              </w:rPr>
              <w:t>На уровне квалификации</w:t>
            </w:r>
          </w:p>
        </w:tc>
      </w:tr>
      <w:tr>
        <w:trPr/>
        <w:tc>
          <w:tcPr>
            <w:tcW w:w="2802" w:type="dxa"/>
            <w:tcBorders>
              <w:top w:val="single" w:sz="4" w:space="0" w:color="000000"/>
              <w:left w:val="single" w:sz="4" w:space="0" w:color="000000"/>
              <w:bottom w:val="single" w:sz="4" w:space="0" w:color="000000"/>
              <w:right w:val="single" w:sz="4" w:space="0" w:color="000000"/>
            </w:tcBorders>
          </w:tcPr>
          <w:p>
            <w:pPr>
              <w:pStyle w:val="Normal"/>
              <w:rPr/>
            </w:pPr>
            <w:r>
              <w:rPr>
                <w:rFonts w:eastAsia="Calibri"/>
                <w:b/>
                <w:color w:val="000000"/>
                <w:lang w:eastAsia="en-US"/>
              </w:rPr>
              <w:t>ОТФ</w:t>
            </w:r>
            <w:r>
              <w:rPr>
                <w:rFonts w:eastAsia="Calibri"/>
                <w:color w:val="000000"/>
                <w:lang w:eastAsia="en-US"/>
              </w:rPr>
              <w:t xml:space="preserve"> </w:t>
            </w:r>
            <w:r>
              <w:rPr>
                <w:rFonts w:eastAsia="Calibri"/>
                <w:lang w:eastAsia="en-US"/>
              </w:rPr>
              <w:t xml:space="preserve">Педагогическая деятельность по проектированию и реализации </w:t>
            </w:r>
          </w:p>
          <w:p>
            <w:pPr>
              <w:pStyle w:val="Normal"/>
              <w:spacing w:before="0" w:after="0"/>
              <w:contextualSpacing/>
              <w:rPr>
                <w:rFonts w:eastAsia="Calibri"/>
                <w:b/>
                <w:b/>
                <w:color w:val="000000"/>
              </w:rPr>
            </w:pPr>
            <w:r>
              <w:rPr>
                <w:rFonts w:eastAsia="Calibri"/>
              </w:rPr>
              <w:t>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Pr>
          <w:p>
            <w:pPr>
              <w:pStyle w:val="Normal"/>
              <w:rPr/>
            </w:pPr>
            <w:r>
              <w:rPr>
                <w:rFonts w:eastAsia="Calibri"/>
                <w:b/>
                <w:lang w:eastAsia="en-US"/>
              </w:rPr>
              <w:t>ТФ</w:t>
            </w:r>
            <w:r>
              <w:rPr>
                <w:rFonts w:eastAsia="Calibri"/>
                <w:lang w:eastAsia="en-US"/>
              </w:rPr>
              <w:t xml:space="preserve"> Развивающая деятельность </w:t>
            </w:r>
          </w:p>
          <w:p>
            <w:pPr>
              <w:pStyle w:val="Normal"/>
              <w:rPr>
                <w:rFonts w:eastAsia="Calibri"/>
                <w:lang w:eastAsia="en-US"/>
              </w:rPr>
            </w:pPr>
            <w:r>
              <w:rPr>
                <w:rFonts w:eastAsia="Calibri"/>
                <w:lang w:eastAsia="en-US"/>
              </w:rPr>
            </w:r>
          </w:p>
        </w:tc>
        <w:tc>
          <w:tcPr>
            <w:tcW w:w="2977" w:type="dxa"/>
            <w:tcBorders>
              <w:top w:val="single" w:sz="4" w:space="0" w:color="000000"/>
              <w:left w:val="single" w:sz="4" w:space="0" w:color="000000"/>
              <w:bottom w:val="single" w:sz="4" w:space="0" w:color="000000"/>
              <w:right w:val="single" w:sz="4" w:space="0" w:color="000000"/>
            </w:tcBorders>
          </w:tcPr>
          <w:p>
            <w:pPr>
              <w:pStyle w:val="Normal"/>
              <w:spacing w:before="0" w:after="0"/>
              <w:ind w:firstLine="305"/>
              <w:contextualSpacing/>
              <w:rPr/>
            </w:pPr>
            <w:r>
              <w:rPr>
                <w:rFonts w:eastAsia="Calibri"/>
                <w:b/>
                <w:sz w:val="20"/>
                <w:szCs w:val="20"/>
              </w:rPr>
              <w:t xml:space="preserve">ТД 1 </w:t>
            </w:r>
            <w:r>
              <w:rPr>
                <w:rFonts w:eastAsia="Calibri"/>
              </w:rPr>
              <w:t xml:space="preserve">Оценка параметров и проектирование психологически безопасной и комфортной образовательной среды. </w:t>
            </w:r>
          </w:p>
          <w:p>
            <w:pPr>
              <w:pStyle w:val="Normal"/>
              <w:spacing w:before="0" w:after="0"/>
              <w:ind w:firstLine="305"/>
              <w:contextualSpacing/>
              <w:rPr/>
            </w:pPr>
            <w:r>
              <w:rPr>
                <w:rFonts w:eastAsia="Calibri"/>
                <w:b/>
                <w:sz w:val="20"/>
                <w:szCs w:val="20"/>
              </w:rPr>
              <w:t xml:space="preserve">ТД 2 </w:t>
            </w:r>
            <w:r>
              <w:rPr>
                <w:rFonts w:eastAsia="Calibri"/>
              </w:rPr>
              <w:t xml:space="preserve">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 </w:t>
            </w:r>
          </w:p>
          <w:p>
            <w:pPr>
              <w:pStyle w:val="Normal"/>
              <w:spacing w:before="0" w:after="0"/>
              <w:ind w:firstLine="305"/>
              <w:contextualSpacing/>
              <w:rPr>
                <w:rFonts w:eastAsia="Calibri"/>
                <w:b/>
                <w:b/>
                <w:color w:val="000000"/>
              </w:rPr>
            </w:pPr>
            <w:r>
              <w:rPr>
                <w:rFonts w:eastAsia="Calibri"/>
                <w:b/>
                <w:sz w:val="20"/>
                <w:szCs w:val="20"/>
              </w:rPr>
              <w:t xml:space="preserve">ТД 3 </w:t>
            </w:r>
            <w:r>
              <w:rPr>
                <w:rFonts w:eastAsia="Calibri"/>
              </w:rPr>
              <w:t xml:space="preserve">Освоение и применение психолого-педагогических технологий (в том числе инклюзивных), необходимых для адресной работы с детьми с особыми образовательными потребностями (дети с синдромом дефицита внимания и гиперактивностью. </w:t>
            </w:r>
          </w:p>
        </w:tc>
        <w:tc>
          <w:tcPr>
            <w:tcW w:w="1688"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center"/>
              <w:rPr>
                <w:rFonts w:eastAsia="Calibri"/>
                <w:b/>
                <w:b/>
                <w:color w:val="000000"/>
              </w:rPr>
            </w:pPr>
            <w:r>
              <w:rPr>
                <w:rFonts w:eastAsia="Calibri"/>
                <w:b/>
                <w:color w:val="000000"/>
              </w:rPr>
              <w:t>6</w:t>
            </w:r>
          </w:p>
        </w:tc>
      </w:tr>
    </w:tbl>
    <w:p>
      <w:pPr>
        <w:pStyle w:val="Normal"/>
        <w:spacing w:before="0" w:after="0"/>
        <w:contextualSpacing/>
        <w:jc w:val="center"/>
        <w:rPr>
          <w:rFonts w:eastAsia="Calibri"/>
          <w:b/>
          <w:b/>
          <w:i/>
          <w:i/>
          <w:color w:val="000000"/>
          <w:sz w:val="24"/>
          <w:szCs w:val="24"/>
        </w:rPr>
      </w:pPr>
      <w:r>
        <w:rPr>
          <w:rFonts w:eastAsia="Calibri"/>
          <w:b/>
          <w:i/>
          <w:color w:val="000000"/>
          <w:sz w:val="24"/>
          <w:szCs w:val="24"/>
        </w:rPr>
        <w:t>Описание структуры программы с указанием места в ней каждого из модулей</w:t>
      </w:r>
    </w:p>
    <w:p>
      <w:pPr>
        <w:pStyle w:val="Normal"/>
        <w:spacing w:before="0" w:after="0"/>
        <w:contextualSpacing/>
        <w:rPr>
          <w:rFonts w:eastAsia="Calibri"/>
          <w:b/>
          <w:b/>
          <w:i/>
          <w:i/>
          <w:color w:val="000000"/>
          <w:sz w:val="24"/>
          <w:szCs w:val="24"/>
        </w:rPr>
      </w:pPr>
      <w:r>
        <w:rPr>
          <w:rFonts w:eastAsia="Calibri"/>
          <w:b/>
          <w:i/>
          <w:color w:val="000000"/>
          <w:sz w:val="24"/>
          <w:szCs w:val="24"/>
        </w:rPr>
      </w:r>
    </w:p>
    <w:p>
      <w:pPr>
        <w:pStyle w:val="Normal"/>
        <w:ind w:firstLine="567"/>
        <w:jc w:val="both"/>
        <w:rPr/>
      </w:pPr>
      <w:r>
        <w:rPr>
          <w:rFonts w:eastAsia="Calibri"/>
          <w:sz w:val="24"/>
          <w:szCs w:val="24"/>
          <w:lang w:eastAsia="en-US"/>
        </w:rPr>
        <w:t xml:space="preserve">Программа состоит из трех взаимодополняющих модулей: модуль 2 включает теоретическое обоснование практического применения современных технологий </w:t>
      </w:r>
      <w:r>
        <w:rPr>
          <w:sz w:val="24"/>
          <w:szCs w:val="24"/>
        </w:rPr>
        <w:t>п</w:t>
      </w:r>
      <w:r>
        <w:rPr>
          <w:rFonts w:eastAsia="Calibri"/>
          <w:sz w:val="24"/>
          <w:szCs w:val="24"/>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 рассматриваемых в модуле 3, в рамках нормативного поля обеспечивающего решение задач государственной политики в сфере развития детей с особыми образовательными потребностями в образовательной организации, которым посвящен модуль 1. В модуле 1 реализуются практикумы с применением дистанционных образовательных технологий.</w:t>
      </w:r>
    </w:p>
    <w:p>
      <w:pPr>
        <w:pStyle w:val="Normal"/>
        <w:ind w:firstLine="567"/>
        <w:jc w:val="both"/>
        <w:rPr>
          <w:rFonts w:eastAsia="Calibri"/>
          <w:b/>
          <w:b/>
          <w:sz w:val="24"/>
          <w:szCs w:val="24"/>
          <w:lang w:eastAsia="en-US"/>
        </w:rPr>
      </w:pPr>
      <w:r>
        <w:rPr>
          <w:rFonts w:eastAsia="Calibri"/>
          <w:b/>
          <w:sz w:val="24"/>
          <w:szCs w:val="24"/>
          <w:lang w:eastAsia="en-US"/>
        </w:rPr>
      </w:r>
    </w:p>
    <w:p>
      <w:pPr>
        <w:pStyle w:val="Normal"/>
        <w:ind w:firstLine="567"/>
        <w:jc w:val="both"/>
        <w:rPr/>
      </w:pPr>
      <w:r>
        <w:rPr>
          <w:rFonts w:eastAsia="Calibri"/>
          <w:b/>
          <w:sz w:val="24"/>
          <w:szCs w:val="24"/>
          <w:lang w:eastAsia="en-US"/>
        </w:rPr>
        <w:t>Модуль 1. «</w:t>
      </w:r>
      <w:r>
        <w:rPr>
          <w:b/>
          <w:sz w:val="24"/>
          <w:szCs w:val="24"/>
        </w:rPr>
        <w:t>Профессиональная компетентность педагога ГОУ в работе с детьми с особыми образовательными потребностями</w:t>
      </w:r>
      <w:r>
        <w:rPr>
          <w:rFonts w:eastAsia="Calibri"/>
          <w:b/>
          <w:sz w:val="24"/>
          <w:szCs w:val="24"/>
          <w:lang w:eastAsia="en-US"/>
        </w:rPr>
        <w:t xml:space="preserve">» </w:t>
      </w:r>
    </w:p>
    <w:p>
      <w:pPr>
        <w:pStyle w:val="Normal"/>
        <w:jc w:val="both"/>
        <w:rPr>
          <w:rFonts w:eastAsia="Calibri"/>
          <w:sz w:val="24"/>
          <w:szCs w:val="24"/>
          <w:lang w:eastAsia="en-US"/>
        </w:rPr>
      </w:pPr>
      <w:r>
        <w:rPr>
          <w:rFonts w:eastAsia="Calibri"/>
          <w:sz w:val="24"/>
          <w:szCs w:val="24"/>
          <w:lang w:eastAsia="en-US"/>
        </w:rPr>
      </w:r>
      <w:r>
        <mc:AlternateContent>
          <mc:Choice Requires="wps">
            <w:drawing>
              <wp:anchor behindDoc="0" distT="0" distB="0" distL="0" distR="114300" simplePos="0" locked="0" layoutInCell="0" allowOverlap="1" relativeHeight="12">
                <wp:simplePos x="0" y="0"/>
                <wp:positionH relativeFrom="margin">
                  <wp:align>left</wp:align>
                </wp:positionH>
                <wp:positionV relativeFrom="paragraph">
                  <wp:posOffset>77470</wp:posOffset>
                </wp:positionV>
                <wp:extent cx="5840730" cy="2453640"/>
                <wp:effectExtent l="0" t="0" r="0" b="0"/>
                <wp:wrapSquare wrapText="largest"/>
                <wp:docPr id="11" name="Frame1"/>
                <a:graphic xmlns:a="http://schemas.openxmlformats.org/drawingml/2006/main">
                  <a:graphicData uri="http://schemas.microsoft.com/office/word/2010/wordprocessingShape">
                    <wps:wsp>
                      <wps:cNvSpPr txBox="1"/>
                      <wps:spPr>
                        <a:xfrm>
                          <a:off x="0" y="0"/>
                          <a:ext cx="5840730" cy="2453640"/>
                        </a:xfrm>
                        <a:prstGeom prst="rect"/>
                        <a:solidFill>
                          <a:srgbClr val="FFFFFF">
                            <a:alpha val="0"/>
                          </a:srgbClr>
                        </a:solidFill>
                      </wps:spPr>
                      <wps:txbx>
                        <w:txbxContent>
                          <w:p>
                            <w:pPr>
                              <w:pStyle w:val="Normal"/>
                              <w:tabs>
                                <w:tab w:val="clear" w:pos="708"/>
                                <w:tab w:val="left" w:pos="7513" w:leader="none"/>
                              </w:tabs>
                              <w:spacing w:before="0" w:after="200"/>
                              <w:jc w:val="both"/>
                              <w:rPr/>
                            </w:pPr>
                            <w:r>
                              <w:rPr>
                                <w:rFonts w:eastAsia="Calibri"/>
                                <w:sz w:val="24"/>
                                <w:szCs w:val="24"/>
                                <w:lang w:eastAsia="en-US"/>
                              </w:rPr>
                              <w:t>В данном модуле рассматриваются вопросы п</w:t>
                            </w:r>
                            <w:r>
                              <w:rPr>
                                <w:rFonts w:eastAsia="Calibri"/>
                                <w:color w:val="000000"/>
                                <w:sz w:val="24"/>
                                <w:szCs w:val="24"/>
                                <w:lang w:eastAsia="en-US"/>
                              </w:rPr>
                              <w:t xml:space="preserve">рофессиональной компетентности педагога в сфере работы с детьми с особыми образовательными потребностями в соответствии с Профессиональным стандартом «Педагог» и ФГОС НО, ООО, </w:t>
                            </w:r>
                            <w:r>
                              <w:rPr>
                                <w:rFonts w:eastAsia="Calibri"/>
                                <w:color w:val="000000"/>
                                <w:sz w:val="24"/>
                                <w:szCs w:val="24"/>
                                <w:lang w:val="en-US" w:eastAsia="en-US"/>
                              </w:rPr>
                              <w:t>c</w:t>
                            </w:r>
                            <w:r>
                              <w:rPr>
                                <w:rFonts w:eastAsia="Calibri"/>
                                <w:color w:val="000000"/>
                                <w:sz w:val="24"/>
                                <w:szCs w:val="24"/>
                                <w:lang w:eastAsia="en-US"/>
                              </w:rPr>
                              <w:t xml:space="preserve"> учетом особенностей развития и </w:t>
                            </w:r>
                            <w:r>
                              <w:rPr>
                                <w:rFonts w:eastAsia="Calibri"/>
                                <w:sz w:val="24"/>
                                <w:szCs w:val="24"/>
                                <w:lang w:eastAsia="en-US"/>
                              </w:rPr>
                              <w:t>социализации современных детей и подростков. Рассматриваются вопросы сотрудничества и взаимодействия с семьей обучающихся с СДВГ, оказания родителям (законным представителям) поддержки и обучения их навыкам поддержки детей с СДВГ в современном образовательном процессе. Практикумы данного модуля проводятся с применением дистанционных образовательных технологий:</w:t>
                            </w:r>
                            <w:r>
                              <w:rPr>
                                <w:rFonts w:eastAsia="Calibri"/>
                                <w:color w:val="000000"/>
                                <w:lang w:eastAsia="en-US"/>
                              </w:rPr>
                              <w:t xml:space="preserve"> </w:t>
                            </w:r>
                            <w:r>
                              <w:rPr>
                                <w:rFonts w:eastAsia="Calibri"/>
                                <w:sz w:val="24"/>
                                <w:szCs w:val="24"/>
                                <w:lang w:eastAsia="en-US"/>
                              </w:rPr>
                              <w:t>нормативно-правовые акты, регулирующие работу с детьми с особыми образовательными потребностями, изучаются и анализируются обучающимися с помощью материалов, расположенных на гугл-ресурсах кафедры педагогики семьи; оценка параметров и проектирование психологически безопасной и комфортной образовательной среды для детей с особыми образовательными потребностями осуществляется на основе материалов, находящихся на гугл-диске кафедры педагогики семьи.</w:t>
                            </w:r>
                          </w:p>
                        </w:txbxContent>
                      </wps:txbx>
                      <wps:bodyPr anchor="t" lIns="0" tIns="0" rIns="0" bIns="0">
                        <a:noAutofit/>
                      </wps:bodyPr>
                    </wps:wsp>
                  </a:graphicData>
                </a:graphic>
              </wp:anchor>
            </w:drawing>
          </mc:Choice>
          <mc:Fallback>
            <w:pict>
              <v:rect fillcolor="#FFFFFF" style="position:absolute;rotation:0;width:459.9pt;height:193.2pt;mso-wrap-distance-left:0pt;mso-wrap-distance-right:9pt;mso-wrap-distance-top:0pt;mso-wrap-distance-bottom:0pt;margin-top:6.1pt;mso-position-vertical-relative:text;margin-left:0pt;mso-position-horizontal:left;mso-position-horizontal-relative:margin">
                <v:fill opacity="0f"/>
                <v:textbox inset="0in,0in,0in,0in">
                  <w:txbxContent>
                    <w:p>
                      <w:pPr>
                        <w:pStyle w:val="Normal"/>
                        <w:tabs>
                          <w:tab w:val="clear" w:pos="708"/>
                          <w:tab w:val="left" w:pos="7513" w:leader="none"/>
                        </w:tabs>
                        <w:spacing w:before="0" w:after="200"/>
                        <w:jc w:val="both"/>
                        <w:rPr/>
                      </w:pPr>
                      <w:r>
                        <w:rPr>
                          <w:rFonts w:eastAsia="Calibri"/>
                          <w:sz w:val="24"/>
                          <w:szCs w:val="24"/>
                          <w:lang w:eastAsia="en-US"/>
                        </w:rPr>
                        <w:t>В данном модуле рассматриваются вопросы п</w:t>
                      </w:r>
                      <w:r>
                        <w:rPr>
                          <w:rFonts w:eastAsia="Calibri"/>
                          <w:color w:val="000000"/>
                          <w:sz w:val="24"/>
                          <w:szCs w:val="24"/>
                          <w:lang w:eastAsia="en-US"/>
                        </w:rPr>
                        <w:t xml:space="preserve">рофессиональной компетентности педагога в сфере работы с детьми с особыми образовательными потребностями в соответствии с Профессиональным стандартом «Педагог» и ФГОС НО, ООО, </w:t>
                      </w:r>
                      <w:r>
                        <w:rPr>
                          <w:rFonts w:eastAsia="Calibri"/>
                          <w:color w:val="000000"/>
                          <w:sz w:val="24"/>
                          <w:szCs w:val="24"/>
                          <w:lang w:val="en-US" w:eastAsia="en-US"/>
                        </w:rPr>
                        <w:t>c</w:t>
                      </w:r>
                      <w:r>
                        <w:rPr>
                          <w:rFonts w:eastAsia="Calibri"/>
                          <w:color w:val="000000"/>
                          <w:sz w:val="24"/>
                          <w:szCs w:val="24"/>
                          <w:lang w:eastAsia="en-US"/>
                        </w:rPr>
                        <w:t xml:space="preserve"> учетом особенностей развития и </w:t>
                      </w:r>
                      <w:r>
                        <w:rPr>
                          <w:rFonts w:eastAsia="Calibri"/>
                          <w:sz w:val="24"/>
                          <w:szCs w:val="24"/>
                          <w:lang w:eastAsia="en-US"/>
                        </w:rPr>
                        <w:t>социализации современных детей и подростков. Рассматриваются вопросы сотрудничества и взаимодействия с семьей обучающихся с СДВГ, оказания родителям (законным представителям) поддержки и обучения их навыкам поддержки детей с СДВГ в современном образовательном процессе. Практикумы данного модуля проводятся с применением дистанционных образовательных технологий:</w:t>
                      </w:r>
                      <w:r>
                        <w:rPr>
                          <w:rFonts w:eastAsia="Calibri"/>
                          <w:color w:val="000000"/>
                          <w:lang w:eastAsia="en-US"/>
                        </w:rPr>
                        <w:t xml:space="preserve"> </w:t>
                      </w:r>
                      <w:r>
                        <w:rPr>
                          <w:rFonts w:eastAsia="Calibri"/>
                          <w:sz w:val="24"/>
                          <w:szCs w:val="24"/>
                          <w:lang w:eastAsia="en-US"/>
                        </w:rPr>
                        <w:t>нормативно-правовые акты, регулирующие работу с детьми с особыми образовательными потребностями, изучаются и анализируются обучающимися с помощью материалов, расположенных на гугл-ресурсах кафедры педагогики семьи; оценка параметров и проектирование психологически безопасной и комфортной образовательной среды для детей с особыми образовательными потребностями осуществляется на основе материалов, находящихся на гугл-диске кафедры педагогики семьи.</w:t>
                      </w:r>
                    </w:p>
                  </w:txbxContent>
                </v:textbox>
                <w10:wrap type="square" side="largest"/>
              </v:rect>
            </w:pict>
          </mc:Fallback>
        </mc:AlternateContent>
      </w:r>
    </w:p>
    <w:p>
      <w:pPr>
        <w:pStyle w:val="Normal"/>
        <w:ind w:firstLine="567"/>
        <w:jc w:val="both"/>
        <w:rPr/>
      </w:pPr>
      <w:r>
        <w:rPr>
          <w:rFonts w:eastAsia="Calibri"/>
          <w:b/>
          <w:sz w:val="24"/>
          <w:szCs w:val="24"/>
          <w:lang w:eastAsia="en-US"/>
        </w:rPr>
        <w:t>Модуль 2. «</w:t>
      </w:r>
      <w:r>
        <w:rPr>
          <w:b/>
          <w:sz w:val="24"/>
          <w:szCs w:val="24"/>
        </w:rPr>
        <w:t>Научно-теоретические подходы к обучению и воспитанию детей с СДВГ</w:t>
      </w:r>
      <w:r>
        <w:rPr>
          <w:rFonts w:eastAsia="Calibri"/>
          <w:b/>
          <w:sz w:val="24"/>
          <w:szCs w:val="24"/>
          <w:lang w:eastAsia="en-US"/>
        </w:rPr>
        <w:t>»</w:t>
      </w:r>
      <w:r>
        <w:rPr>
          <w:rFonts w:eastAsia="Calibri"/>
          <w:sz w:val="24"/>
          <w:szCs w:val="24"/>
          <w:lang w:eastAsia="en-US"/>
        </w:rPr>
        <w:t xml:space="preserve"> </w:t>
      </w:r>
    </w:p>
    <w:p>
      <w:pPr>
        <w:pStyle w:val="Normal"/>
        <w:tabs>
          <w:tab w:val="clear" w:pos="708"/>
          <w:tab w:val="left" w:pos="720" w:leader="none"/>
          <w:tab w:val="left" w:pos="993" w:leader="none"/>
        </w:tabs>
        <w:ind w:firstLine="567"/>
        <w:jc w:val="both"/>
        <w:rPr/>
      </w:pPr>
      <w:r>
        <w:rPr>
          <w:rFonts w:eastAsia="Calibri"/>
          <w:color w:val="000000"/>
          <w:sz w:val="24"/>
          <w:lang w:eastAsia="en-US"/>
        </w:rPr>
        <w:t>В данном модуле рассматриваются психофизиологические особенности детей с СДВГ, этиология и патогенез заболевания, обуславливающие трудности в обучении, поведении данной категории детей.</w:t>
      </w:r>
      <w:r>
        <w:rPr>
          <w:rFonts w:eastAsia="Calibri"/>
          <w:sz w:val="24"/>
          <w:szCs w:val="24"/>
          <w:lang w:eastAsia="en-US"/>
        </w:rPr>
        <w:t xml:space="preserve"> Обсуждаются существующие подходы к коррекции нарушенных когнитивных функций, эмоционально-волевой и мотивационной сферы. Воспитательные стратегии, наиболее эффективные для работы с детьми с СДВГ. На практикумах слушатели знакомятся с диагностическим инструментарием, алгоритмом разработки и реализации индивидуального образовательного маршрута для обучающихся с СДВГ. </w:t>
      </w:r>
    </w:p>
    <w:p>
      <w:pPr>
        <w:pStyle w:val="Normal"/>
        <w:ind w:firstLine="567"/>
        <w:jc w:val="both"/>
        <w:rPr/>
      </w:pPr>
      <w:r>
        <w:rPr>
          <w:b/>
          <w:sz w:val="24"/>
          <w:szCs w:val="24"/>
        </w:rPr>
        <w:t xml:space="preserve">Модуль 3. </w:t>
      </w:r>
      <w:r>
        <w:rPr>
          <w:rFonts w:eastAsia="Calibri"/>
          <w:b/>
          <w:sz w:val="24"/>
          <w:szCs w:val="24"/>
          <w:lang w:eastAsia="en-US"/>
        </w:rPr>
        <w:t>«</w:t>
      </w:r>
      <w:r>
        <w:rPr>
          <w:b/>
          <w:sz w:val="24"/>
          <w:szCs w:val="24"/>
        </w:rPr>
        <w:t>Технологии п</w:t>
      </w:r>
      <w:r>
        <w:rPr>
          <w:rFonts w:eastAsia="Calibri"/>
          <w:b/>
          <w:sz w:val="24"/>
          <w:szCs w:val="24"/>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w:t>
      </w:r>
    </w:p>
    <w:p>
      <w:pPr>
        <w:pStyle w:val="Normal"/>
        <w:spacing w:before="0" w:after="0"/>
        <w:ind w:firstLine="567"/>
        <w:contextualSpacing/>
        <w:jc w:val="both"/>
        <w:rPr>
          <w:rFonts w:eastAsia="Calibri"/>
          <w:color w:val="000000"/>
          <w:sz w:val="24"/>
          <w:szCs w:val="24"/>
        </w:rPr>
      </w:pPr>
      <w:r>
        <w:rPr>
          <w:rFonts w:eastAsia="Calibri"/>
          <w:color w:val="000000"/>
          <w:sz w:val="24"/>
          <w:szCs w:val="24"/>
        </w:rPr>
        <w:t>В данном модуле а</w:t>
      </w:r>
      <w:r>
        <w:rPr>
          <w:rFonts w:eastAsia="Calibri"/>
          <w:sz w:val="24"/>
          <w:szCs w:val="24"/>
        </w:rPr>
        <w:t xml:space="preserve">кцент сделан на практикоориентированный компетентностный подход, представляющий собой совокупность современных, в том числе интерактивных, форм, коррекционно-развивающих методов и технологий работы, используемых как на занятии, так и во внеурочной деятельности. </w:t>
      </w:r>
    </w:p>
    <w:p>
      <w:pPr>
        <w:pStyle w:val="Normal"/>
        <w:spacing w:before="0" w:after="0"/>
        <w:contextualSpacing/>
        <w:rPr>
          <w:rFonts w:eastAsia="Calibri"/>
          <w:b/>
          <w:b/>
          <w:color w:val="000000"/>
          <w:sz w:val="24"/>
          <w:szCs w:val="24"/>
        </w:rPr>
      </w:pPr>
      <w:r>
        <w:rPr>
          <w:rFonts w:eastAsia="Calibri"/>
          <w:b/>
          <w:color w:val="000000"/>
          <w:sz w:val="24"/>
          <w:szCs w:val="24"/>
        </w:rPr>
      </w:r>
    </w:p>
    <w:p>
      <w:pPr>
        <w:pStyle w:val="Normal"/>
        <w:ind w:firstLine="390"/>
        <w:jc w:val="center"/>
        <w:rPr>
          <w:rFonts w:eastAsia="Calibri"/>
          <w:b/>
          <w:b/>
          <w:sz w:val="28"/>
          <w:szCs w:val="28"/>
          <w:lang w:eastAsia="en-US"/>
        </w:rPr>
      </w:pPr>
      <w:r>
        <w:rPr>
          <w:rFonts w:eastAsia="Calibri"/>
          <w:b/>
          <w:sz w:val="28"/>
          <w:szCs w:val="28"/>
          <w:lang w:eastAsia="en-US"/>
        </w:rPr>
        <w:t>«Целевая карта» дополнительной профессиональной программы повышения квалификации</w:t>
      </w:r>
    </w:p>
    <w:p>
      <w:pPr>
        <w:pStyle w:val="Normal"/>
        <w:ind w:firstLine="390"/>
        <w:jc w:val="center"/>
        <w:rPr>
          <w:rFonts w:eastAsia="Calibri"/>
          <w:b/>
          <w:b/>
          <w:i/>
          <w:i/>
          <w:sz w:val="24"/>
          <w:szCs w:val="24"/>
          <w:u w:val="single"/>
          <w:lang w:eastAsia="en-US"/>
        </w:rPr>
      </w:pPr>
      <w:r>
        <w:rPr>
          <w:rFonts w:eastAsia="Calibri"/>
          <w:b/>
          <w:i/>
          <w:sz w:val="24"/>
          <w:szCs w:val="24"/>
          <w:u w:val="single"/>
          <w:lang w:eastAsia="en-US"/>
        </w:rPr>
      </w:r>
    </w:p>
    <w:p>
      <w:pPr>
        <w:pStyle w:val="Normal"/>
        <w:spacing w:before="0" w:after="0"/>
        <w:ind w:firstLine="567"/>
        <w:contextualSpacing/>
        <w:jc w:val="both"/>
        <w:rPr>
          <w:rFonts w:eastAsia="Calibri"/>
          <w:b/>
          <w:b/>
          <w:color w:val="000000"/>
          <w:sz w:val="24"/>
          <w:szCs w:val="24"/>
        </w:rPr>
      </w:pPr>
      <w:r>
        <w:rPr>
          <w:rFonts w:eastAsia="Calibri"/>
          <w:b/>
          <w:color w:val="000000"/>
          <w:sz w:val="24"/>
          <w:szCs w:val="24"/>
        </w:rPr>
        <w:t xml:space="preserve">Цель обучения: </w:t>
      </w:r>
      <w:r>
        <w:rPr>
          <w:sz w:val="24"/>
          <w:szCs w:val="24"/>
        </w:rPr>
        <w:t>совершенствование профессиональной компетентности педагогов в сфере п</w:t>
      </w:r>
      <w:r>
        <w:rPr>
          <w:rFonts w:eastAsia="Calibri"/>
          <w:sz w:val="24"/>
          <w:szCs w:val="24"/>
        </w:rPr>
        <w:t>роектирования педагогических условий для преодоления синдрома дефицита внимания и гиперактивности у обучающихся в образовательном процессе</w:t>
      </w:r>
    </w:p>
    <w:p>
      <w:pPr>
        <w:pStyle w:val="Normal"/>
        <w:spacing w:before="0" w:after="0"/>
        <w:ind w:firstLine="567"/>
        <w:contextualSpacing/>
        <w:jc w:val="both"/>
        <w:rPr/>
      </w:pPr>
      <w:r>
        <w:rPr>
          <w:rFonts w:eastAsia="Calibri"/>
          <w:b/>
          <w:color w:val="000000"/>
          <w:sz w:val="24"/>
          <w:szCs w:val="24"/>
        </w:rPr>
        <w:t xml:space="preserve">Требования к категории слушателей: </w:t>
      </w:r>
      <w:r>
        <w:rPr>
          <w:rFonts w:eastAsia="Calibri"/>
          <w:color w:val="000000"/>
          <w:sz w:val="24"/>
          <w:szCs w:val="24"/>
        </w:rPr>
        <w:t>педагоги ГОУ</w:t>
      </w:r>
    </w:p>
    <w:p>
      <w:pPr>
        <w:pStyle w:val="Normal"/>
        <w:ind w:firstLine="567"/>
        <w:jc w:val="both"/>
        <w:rPr>
          <w:rFonts w:eastAsia="Calibri"/>
          <w:b/>
          <w:b/>
          <w:color w:val="000000"/>
          <w:sz w:val="24"/>
          <w:szCs w:val="24"/>
          <w:lang w:eastAsia="en-US"/>
        </w:rPr>
      </w:pPr>
      <w:r>
        <w:rPr>
          <w:rFonts w:eastAsia="Calibri"/>
          <w:b/>
          <w:color w:val="000000"/>
          <w:sz w:val="24"/>
          <w:szCs w:val="24"/>
          <w:lang w:eastAsia="en-US"/>
        </w:rPr>
      </w:r>
    </w:p>
    <w:p>
      <w:pPr>
        <w:pStyle w:val="Normal"/>
        <w:ind w:firstLine="567"/>
        <w:jc w:val="both"/>
        <w:rPr>
          <w:rFonts w:eastAsia="Calibri"/>
          <w:b/>
          <w:b/>
          <w:color w:val="000000"/>
          <w:sz w:val="24"/>
          <w:szCs w:val="24"/>
          <w:lang w:eastAsia="en-US"/>
        </w:rPr>
      </w:pPr>
      <w:r>
        <w:rPr>
          <w:rFonts w:eastAsia="Calibri"/>
          <w:b/>
          <w:color w:val="000000"/>
          <w:sz w:val="24"/>
          <w:szCs w:val="24"/>
          <w:lang w:eastAsia="en-US"/>
        </w:rPr>
        <w:t>Планируемые результаты обучения:</w:t>
      </w:r>
    </w:p>
    <w:p>
      <w:pPr>
        <w:pStyle w:val="Normal"/>
        <w:ind w:firstLine="567"/>
        <w:jc w:val="both"/>
        <w:rPr>
          <w:rFonts w:eastAsia="Calibri"/>
          <w:color w:val="000000"/>
          <w:sz w:val="24"/>
          <w:szCs w:val="24"/>
          <w:lang w:eastAsia="en-US"/>
        </w:rPr>
      </w:pPr>
      <w:r>
        <w:rPr>
          <w:rFonts w:eastAsia="Calibri"/>
          <w:color w:val="000000"/>
          <w:sz w:val="24"/>
          <w:szCs w:val="24"/>
          <w:lang w:eastAsia="en-US"/>
        </w:rPr>
        <w:t>В соответствии с указанным выше профессиональным стандартом (- ами) слушатель данной ДПП готовится к решению следующих задач профессиональной деятельности и должен обладать следующими профессиональными компетенциями (обязательные результаты обучения):</w:t>
      </w:r>
    </w:p>
    <w:p>
      <w:pPr>
        <w:pStyle w:val="Normal"/>
        <w:ind w:firstLine="390"/>
        <w:rPr>
          <w:rFonts w:eastAsia="Calibri"/>
          <w:b/>
          <w:b/>
          <w:color w:val="000000"/>
          <w:sz w:val="24"/>
          <w:szCs w:val="24"/>
          <w:lang w:eastAsia="en-US"/>
        </w:rPr>
      </w:pPr>
      <w:r>
        <w:rPr>
          <w:rFonts w:eastAsia="Calibri"/>
          <w:b/>
          <w:color w:val="000000"/>
          <w:sz w:val="24"/>
          <w:szCs w:val="24"/>
          <w:lang w:eastAsia="en-US"/>
        </w:rPr>
      </w:r>
    </w:p>
    <w:tbl>
      <w:tblPr>
        <w:tblW w:w="9445" w:type="dxa"/>
        <w:jc w:val="left"/>
        <w:tblInd w:w="-94" w:type="dxa"/>
        <w:tblLayout w:type="fixed"/>
        <w:tblCellMar>
          <w:top w:w="140" w:type="dxa"/>
          <w:left w:w="80" w:type="dxa"/>
          <w:bottom w:w="140" w:type="dxa"/>
          <w:right w:w="80" w:type="dxa"/>
        </w:tblCellMar>
      </w:tblPr>
      <w:tblGrid>
        <w:gridCol w:w="2632"/>
        <w:gridCol w:w="2693"/>
        <w:gridCol w:w="4036"/>
        <w:gridCol w:w="15"/>
        <w:gridCol w:w="8"/>
        <w:gridCol w:w="23"/>
        <w:gridCol w:w="38"/>
      </w:tblGrid>
      <w:tr>
        <w:trPr>
          <w:trHeight w:val="1004" w:hRule="atLeast"/>
        </w:trPr>
        <w:tc>
          <w:tcPr>
            <w:tcW w:w="2632" w:type="dxa"/>
            <w:tcBorders>
              <w:top w:val="single" w:sz="6" w:space="0" w:color="000000"/>
              <w:left w:val="single" w:sz="6" w:space="0" w:color="000000"/>
              <w:bottom w:val="single" w:sz="6" w:space="0" w:color="000000"/>
              <w:right w:val="single" w:sz="6" w:space="0" w:color="000000"/>
            </w:tcBorders>
          </w:tcPr>
          <w:p>
            <w:pPr>
              <w:pStyle w:val="Normal"/>
              <w:ind w:hanging="34"/>
              <w:jc w:val="center"/>
              <w:rPr>
                <w:rFonts w:eastAsia="Calibri"/>
                <w:lang w:eastAsia="en-US"/>
              </w:rPr>
            </w:pPr>
            <w:r>
              <w:rPr>
                <w:rFonts w:eastAsia="Calibri"/>
                <w:lang w:eastAsia="en-US"/>
              </w:rPr>
              <w:t>Модуль ДПП (М)</w:t>
            </w:r>
          </w:p>
          <w:p>
            <w:pPr>
              <w:pStyle w:val="Normal"/>
              <w:ind w:hanging="34"/>
              <w:jc w:val="center"/>
              <w:rPr>
                <w:rFonts w:eastAsia="Calibri"/>
                <w:color w:val="000000"/>
                <w:lang w:eastAsia="en-US"/>
              </w:rPr>
            </w:pPr>
            <w:r>
              <w:rPr>
                <w:rFonts w:eastAsia="Calibri"/>
                <w:color w:val="000000"/>
                <w:lang w:eastAsia="en-US"/>
              </w:rPr>
            </w:r>
          </w:p>
        </w:tc>
        <w:tc>
          <w:tcPr>
            <w:tcW w:w="2693" w:type="dxa"/>
            <w:tcBorders>
              <w:top w:val="single" w:sz="6" w:space="0" w:color="000000"/>
              <w:left w:val="single" w:sz="6" w:space="0" w:color="000000"/>
              <w:bottom w:val="single" w:sz="4" w:space="0" w:color="000000"/>
              <w:right w:val="single" w:sz="6" w:space="0" w:color="000000"/>
            </w:tcBorders>
          </w:tcPr>
          <w:p>
            <w:pPr>
              <w:pStyle w:val="Normal"/>
              <w:ind w:firstLine="390"/>
              <w:jc w:val="center"/>
              <w:rPr>
                <w:rFonts w:eastAsia="Calibri"/>
                <w:color w:val="000000"/>
                <w:lang w:eastAsia="en-US"/>
              </w:rPr>
            </w:pPr>
            <w:r>
              <w:rPr>
                <w:rFonts w:eastAsia="Calibri"/>
                <w:color w:val="000000"/>
                <w:lang w:eastAsia="en-US"/>
              </w:rPr>
              <w:t xml:space="preserve">Задачи профессиональной деятельности (ЗПД) </w:t>
            </w:r>
          </w:p>
        </w:tc>
        <w:tc>
          <w:tcPr>
            <w:tcW w:w="4051" w:type="dxa"/>
            <w:gridSpan w:val="2"/>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Профессиональные компетенции (ПК), подлежащие развитию</w:t>
            </w:r>
          </w:p>
        </w:tc>
        <w:tc>
          <w:tcPr>
            <w:tcW w:w="69" w:type="dxa"/>
            <w:gridSpan w:val="3"/>
            <w:tcBorders/>
            <w:tcMar>
              <w:top w:w="0" w:type="dxa"/>
              <w:left w:w="0" w:type="dxa"/>
              <w:bottom w:w="0" w:type="dxa"/>
              <w:right w:w="0" w:type="dxa"/>
            </w:tcMar>
          </w:tcPr>
          <w:p>
            <w:pPr>
              <w:pStyle w:val="Normal"/>
              <w:snapToGrid w:val="false"/>
              <w:rPr>
                <w:rFonts w:ascii="Calibri" w:hAnsi="Calibri" w:eastAsia="Calibri" w:cs="Calibri"/>
                <w:color w:val="000000"/>
                <w:lang w:eastAsia="en-US"/>
              </w:rPr>
            </w:pPr>
            <w:r>
              <w:rPr>
                <w:rFonts w:eastAsia="Calibri" w:cs="Calibri" w:ascii="Calibri" w:hAnsi="Calibri"/>
                <w:color w:val="000000"/>
                <w:lang w:eastAsia="en-US"/>
              </w:rPr>
            </w:r>
          </w:p>
        </w:tc>
      </w:tr>
      <w:tr>
        <w:trPr>
          <w:trHeight w:val="1676" w:hRule="atLeast"/>
        </w:trPr>
        <w:tc>
          <w:tcPr>
            <w:tcW w:w="2632" w:type="dxa"/>
            <w:tcBorders>
              <w:left w:val="single" w:sz="6" w:space="0" w:color="000000"/>
              <w:right w:val="single" w:sz="4" w:space="0" w:color="000000"/>
            </w:tcBorders>
            <w:tcMar>
              <w:top w:w="0" w:type="dxa"/>
              <w:left w:w="0" w:type="dxa"/>
              <w:bottom w:w="0" w:type="dxa"/>
              <w:right w:w="0" w:type="dxa"/>
            </w:tcMar>
          </w:tcPr>
          <w:p>
            <w:pPr>
              <w:pStyle w:val="Normal"/>
              <w:ind w:firstLine="142"/>
              <w:rPr>
                <w:rFonts w:eastAsia="Calibri"/>
                <w:color w:val="000000"/>
                <w:lang w:eastAsia="en-US"/>
              </w:rPr>
            </w:pPr>
            <w:r>
              <w:rPr>
                <w:rFonts w:eastAsia="Calibri"/>
                <w:b/>
                <w:color w:val="000000"/>
                <w:lang w:eastAsia="en-US"/>
              </w:rPr>
              <w:t>М 1</w:t>
            </w:r>
            <w:r>
              <w:rPr/>
              <w:t xml:space="preserve"> Профессиональная компетентность педагога ГОУ в работе с детьми с особыми образовательными потребностями</w:t>
            </w:r>
          </w:p>
        </w:tc>
        <w:tc>
          <w:tcPr>
            <w:tcW w:w="2693" w:type="dxa"/>
            <w:tcBorders>
              <w:left w:val="single" w:sz="4" w:space="0" w:color="000000"/>
              <w:bottom w:val="single" w:sz="4" w:space="0" w:color="000000"/>
              <w:right w:val="single" w:sz="4" w:space="0" w:color="000000"/>
            </w:tcBorders>
          </w:tcPr>
          <w:p>
            <w:pPr>
              <w:pStyle w:val="Normal"/>
              <w:spacing w:before="0" w:after="0"/>
              <w:ind w:firstLine="142"/>
              <w:contextualSpacing/>
              <w:rPr>
                <w:rFonts w:eastAsia="Calibri"/>
                <w:color w:val="000000"/>
                <w:sz w:val="20"/>
                <w:szCs w:val="20"/>
              </w:rPr>
            </w:pPr>
            <w:r>
              <w:rPr>
                <w:rFonts w:eastAsia="Calibri"/>
                <w:b/>
                <w:color w:val="000000"/>
              </w:rPr>
              <w:t>ЗПД 1</w:t>
            </w:r>
            <w:r>
              <w:rPr>
                <w:rFonts w:eastAsia="Calibri"/>
              </w:rPr>
              <w:t xml:space="preserve"> Оценка параметров и проектирование психологически безопасной и комфортной образовательной среды </w:t>
            </w:r>
          </w:p>
        </w:tc>
        <w:tc>
          <w:tcPr>
            <w:tcW w:w="4051" w:type="dxa"/>
            <w:gridSpan w:val="2"/>
            <w:tcBorders>
              <w:top w:val="single" w:sz="6" w:space="0" w:color="000000"/>
              <w:left w:val="single" w:sz="4" w:space="0" w:color="000000"/>
              <w:right w:val="single" w:sz="6" w:space="0" w:color="000000"/>
            </w:tcBorders>
          </w:tcPr>
          <w:p>
            <w:pPr>
              <w:pStyle w:val="Normal"/>
              <w:ind w:firstLine="142"/>
              <w:rPr>
                <w:rFonts w:eastAsia="Calibri"/>
                <w:color w:val="000000"/>
                <w:lang w:eastAsia="en-US"/>
              </w:rPr>
            </w:pPr>
            <w:r>
              <w:rPr>
                <w:rFonts w:eastAsia="Calibri"/>
                <w:b/>
                <w:lang w:eastAsia="en-US"/>
              </w:rPr>
              <w:t>ПК 1</w:t>
            </w:r>
            <w:r>
              <w:rPr>
                <w:rFonts w:eastAsia="Calibri"/>
                <w:lang w:eastAsia="en-US"/>
              </w:rPr>
              <w:t xml:space="preserve"> Готовность осуществлять оценку параметров и проектирование психологически безопасной и комфортной образовательной среды</w:t>
            </w:r>
          </w:p>
        </w:tc>
        <w:tc>
          <w:tcPr>
            <w:tcW w:w="69" w:type="dxa"/>
            <w:gridSpan w:val="3"/>
            <w:tcBorders/>
            <w:tcMar>
              <w:top w:w="0" w:type="dxa"/>
              <w:left w:w="0" w:type="dxa"/>
              <w:bottom w:w="0" w:type="dxa"/>
              <w:right w:w="0" w:type="dxa"/>
            </w:tcMar>
          </w:tcPr>
          <w:p>
            <w:pPr>
              <w:pStyle w:val="Normal"/>
              <w:snapToGrid w:val="false"/>
              <w:rPr>
                <w:rFonts w:ascii="Calibri" w:hAnsi="Calibri" w:eastAsia="Calibri" w:cs="Calibri"/>
                <w:color w:val="000000"/>
                <w:lang w:eastAsia="en-US"/>
              </w:rPr>
            </w:pPr>
            <w:r>
              <w:rPr>
                <w:rFonts w:eastAsia="Calibri" w:cs="Calibri" w:ascii="Calibri" w:hAnsi="Calibri"/>
                <w:color w:val="000000"/>
                <w:lang w:eastAsia="en-US"/>
              </w:rPr>
            </w:r>
          </w:p>
        </w:tc>
      </w:tr>
      <w:tr>
        <w:trPr>
          <w:trHeight w:val="2241" w:hRule="atLeast"/>
        </w:trPr>
        <w:tc>
          <w:tcPr>
            <w:tcW w:w="2632"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tcPr>
          <w:p>
            <w:pPr>
              <w:pStyle w:val="Normal"/>
              <w:ind w:firstLine="142"/>
              <w:rPr>
                <w:rFonts w:eastAsia="Calibri"/>
                <w:color w:val="000000"/>
                <w:lang w:eastAsia="en-US"/>
              </w:rPr>
            </w:pPr>
            <w:r>
              <w:rPr>
                <w:rFonts w:eastAsia="Calibri"/>
                <w:b/>
                <w:color w:val="000000"/>
                <w:lang w:eastAsia="en-US"/>
              </w:rPr>
              <w:t>М 2</w:t>
            </w:r>
            <w:r>
              <w:rPr/>
              <w:t xml:space="preserve"> Научно-теоретические подходы к обучению и воспитанию детей с СДВГ</w:t>
            </w:r>
          </w:p>
        </w:tc>
        <w:tc>
          <w:tcPr>
            <w:tcW w:w="2693" w:type="dxa"/>
            <w:tcBorders>
              <w:left w:val="single" w:sz="4" w:space="0" w:color="000000"/>
              <w:bottom w:val="single" w:sz="4" w:space="0" w:color="000000"/>
              <w:right w:val="single" w:sz="4" w:space="0" w:color="000000"/>
            </w:tcBorders>
          </w:tcPr>
          <w:p>
            <w:pPr>
              <w:pStyle w:val="Normal"/>
              <w:spacing w:before="0" w:after="0"/>
              <w:ind w:firstLine="142"/>
              <w:contextualSpacing/>
              <w:rPr>
                <w:rFonts w:eastAsia="Calibri"/>
                <w:color w:val="000000"/>
              </w:rPr>
            </w:pPr>
            <w:r>
              <w:rPr>
                <w:rFonts w:eastAsia="Calibri"/>
                <w:b/>
                <w:color w:val="000000"/>
              </w:rPr>
              <w:t>ЗПД 2</w:t>
            </w:r>
            <w:r>
              <w:rPr>
                <w:rFonts w:eastAsia="Calibri"/>
              </w:rPr>
              <w:t xml:space="preserve">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 </w:t>
            </w:r>
          </w:p>
        </w:tc>
        <w:tc>
          <w:tcPr>
            <w:tcW w:w="4051" w:type="dxa"/>
            <w:gridSpan w:val="2"/>
            <w:tcBorders>
              <w:top w:val="single" w:sz="6" w:space="0" w:color="000000"/>
              <w:left w:val="single" w:sz="4" w:space="0" w:color="000000"/>
              <w:bottom w:val="single" w:sz="6" w:space="0" w:color="000000"/>
              <w:right w:val="single" w:sz="6" w:space="0" w:color="000000"/>
            </w:tcBorders>
          </w:tcPr>
          <w:p>
            <w:pPr>
              <w:pStyle w:val="Normal"/>
              <w:ind w:firstLine="142"/>
              <w:rPr>
                <w:rFonts w:eastAsia="Calibri"/>
                <w:color w:val="000000"/>
                <w:lang w:eastAsia="en-US"/>
              </w:rPr>
            </w:pPr>
            <w:r>
              <w:rPr>
                <w:rFonts w:eastAsia="Calibri"/>
                <w:b/>
                <w:lang w:eastAsia="en-US"/>
              </w:rPr>
              <w:t>ПК 2</w:t>
            </w:r>
            <w:r>
              <w:rPr>
                <w:rFonts w:eastAsia="Calibri"/>
                <w:lang w:eastAsia="en-US"/>
              </w:rPr>
              <w:t xml:space="preserve"> Готовность осуществлять разработку (совместно с другими специалистами) и реализацию совместно с родителями (законными представителями) программ индивидуального развития ребенка</w:t>
            </w:r>
          </w:p>
        </w:tc>
        <w:tc>
          <w:tcPr>
            <w:tcW w:w="69" w:type="dxa"/>
            <w:gridSpan w:val="3"/>
            <w:tcBorders/>
            <w:tcMar>
              <w:top w:w="0" w:type="dxa"/>
              <w:left w:w="0" w:type="dxa"/>
              <w:bottom w:w="0" w:type="dxa"/>
              <w:right w:w="0" w:type="dxa"/>
            </w:tcMar>
          </w:tcPr>
          <w:p>
            <w:pPr>
              <w:pStyle w:val="Normal"/>
              <w:snapToGrid w:val="false"/>
              <w:rPr>
                <w:rFonts w:ascii="Calibri" w:hAnsi="Calibri" w:eastAsia="Calibri" w:cs="Calibri"/>
                <w:color w:val="000000"/>
                <w:lang w:eastAsia="en-US"/>
              </w:rPr>
            </w:pPr>
            <w:r>
              <w:rPr>
                <w:rFonts w:eastAsia="Calibri" w:cs="Calibri" w:ascii="Calibri" w:hAnsi="Calibri"/>
                <w:color w:val="000000"/>
                <w:lang w:eastAsia="en-US"/>
              </w:rPr>
            </w:r>
          </w:p>
        </w:tc>
      </w:tr>
      <w:tr>
        <w:trPr>
          <w:trHeight w:val="3354" w:hRule="atLeast"/>
        </w:trPr>
        <w:tc>
          <w:tcPr>
            <w:tcW w:w="2632" w:type="dxa"/>
            <w:tcBorders>
              <w:left w:val="single" w:sz="6" w:space="0" w:color="000000"/>
              <w:bottom w:val="single" w:sz="6" w:space="0" w:color="000000"/>
              <w:right w:val="single" w:sz="4" w:space="0" w:color="000000"/>
            </w:tcBorders>
            <w:tcMar>
              <w:top w:w="0" w:type="dxa"/>
              <w:left w:w="0" w:type="dxa"/>
              <w:bottom w:w="0" w:type="dxa"/>
              <w:right w:w="0" w:type="dxa"/>
            </w:tcMar>
          </w:tcPr>
          <w:p>
            <w:pPr>
              <w:pStyle w:val="Normal"/>
              <w:ind w:firstLine="142"/>
              <w:rPr/>
            </w:pPr>
            <w:r>
              <w:rPr>
                <w:rFonts w:eastAsia="Calibri"/>
                <w:b/>
                <w:color w:val="000000"/>
                <w:lang w:eastAsia="en-US"/>
              </w:rPr>
              <w:t>М 3</w:t>
            </w:r>
            <w:r>
              <w:rPr/>
              <w:t xml:space="preserve"> Технологии п</w:t>
            </w:r>
            <w:r>
              <w:rPr>
                <w:rFonts w:eastAsia="Calibri"/>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w:t>
            </w:r>
          </w:p>
          <w:p>
            <w:pPr>
              <w:pStyle w:val="Normal"/>
              <w:ind w:firstLine="142"/>
              <w:rPr>
                <w:rFonts w:eastAsia="Calibri"/>
                <w:lang w:eastAsia="en-US"/>
              </w:rPr>
            </w:pPr>
            <w:r>
              <w:rPr>
                <w:rFonts w:eastAsia="Calibri"/>
                <w:lang w:eastAsia="en-US"/>
              </w:rPr>
            </w:r>
          </w:p>
          <w:p>
            <w:pPr>
              <w:pStyle w:val="Normal"/>
              <w:ind w:firstLine="142"/>
              <w:rPr>
                <w:rFonts w:eastAsia="Calibri"/>
                <w:color w:val="000000"/>
                <w:lang w:eastAsia="en-US"/>
              </w:rPr>
            </w:pPr>
            <w:r>
              <w:rPr>
                <w:rFonts w:eastAsia="Calibri"/>
                <w:color w:val="000000"/>
                <w:lang w:eastAsia="en-US"/>
              </w:rPr>
            </w:r>
          </w:p>
        </w:tc>
        <w:tc>
          <w:tcPr>
            <w:tcW w:w="2693" w:type="dxa"/>
            <w:tcBorders>
              <w:left w:val="single" w:sz="4" w:space="0" w:color="000000"/>
              <w:bottom w:val="single" w:sz="4" w:space="0" w:color="000000"/>
              <w:right w:val="single" w:sz="4" w:space="0" w:color="000000"/>
            </w:tcBorders>
          </w:tcPr>
          <w:p>
            <w:pPr>
              <w:pStyle w:val="Normal"/>
              <w:ind w:firstLine="142"/>
              <w:rPr>
                <w:rFonts w:eastAsia="Calibri"/>
                <w:color w:val="000000"/>
                <w:lang w:eastAsia="en-US"/>
              </w:rPr>
            </w:pPr>
            <w:r>
              <w:rPr>
                <w:rFonts w:eastAsia="Calibri"/>
                <w:b/>
                <w:color w:val="000000"/>
                <w:lang w:eastAsia="en-US"/>
              </w:rPr>
              <w:t>ЗПД 3</w:t>
            </w:r>
            <w:r>
              <w:rPr>
                <w:rFonts w:eastAsia="Calibri"/>
                <w:color w:val="000000"/>
                <w:lang w:eastAsia="en-US"/>
              </w:rPr>
              <w:t xml:space="preserve"> </w:t>
            </w:r>
            <w:r>
              <w:rPr>
                <w:rFonts w:eastAsia="Calibri"/>
                <w:lang w:eastAsia="en-US"/>
              </w:rPr>
              <w:t>Освоение и применение психолого-педагогических технологий (в том числе инклюзивных), необходимых для адресной работы с детьми с особыми образовательными потребностями (дети с синдромом дефицита внимания и гиперактивностью)</w:t>
            </w:r>
          </w:p>
        </w:tc>
        <w:tc>
          <w:tcPr>
            <w:tcW w:w="4051" w:type="dxa"/>
            <w:gridSpan w:val="2"/>
            <w:tcBorders>
              <w:top w:val="single" w:sz="6" w:space="0" w:color="000000"/>
              <w:left w:val="single" w:sz="4" w:space="0" w:color="000000"/>
              <w:bottom w:val="single" w:sz="6" w:space="0" w:color="000000"/>
              <w:right w:val="single" w:sz="6" w:space="0" w:color="000000"/>
            </w:tcBorders>
          </w:tcPr>
          <w:p>
            <w:pPr>
              <w:pStyle w:val="Normal"/>
              <w:spacing w:before="0" w:after="0"/>
              <w:ind w:firstLine="142"/>
              <w:contextualSpacing/>
              <w:rPr>
                <w:rFonts w:eastAsia="Calibri"/>
                <w:color w:val="000000"/>
              </w:rPr>
            </w:pPr>
            <w:r>
              <w:rPr>
                <w:rFonts w:eastAsia="Calibri"/>
                <w:b/>
              </w:rPr>
              <w:t>ПК 3</w:t>
            </w:r>
            <w:r>
              <w:rPr>
                <w:rFonts w:eastAsia="Calibri"/>
              </w:rPr>
              <w:t xml:space="preserve"> Готовность применять психолого-педагогические технологии (в том числе инклюзивные), необходимых для адресной работы с детьми с особыми образовательными потребностями (дети с синдромом дефицита внимания и гиперактивностью)</w:t>
            </w:r>
          </w:p>
        </w:tc>
        <w:tc>
          <w:tcPr>
            <w:tcW w:w="69" w:type="dxa"/>
            <w:gridSpan w:val="3"/>
            <w:tcBorders/>
            <w:tcMar>
              <w:top w:w="0" w:type="dxa"/>
              <w:left w:w="0" w:type="dxa"/>
              <w:bottom w:w="0" w:type="dxa"/>
              <w:right w:w="0" w:type="dxa"/>
            </w:tcMar>
          </w:tcPr>
          <w:p>
            <w:pPr>
              <w:pStyle w:val="Normal"/>
              <w:snapToGrid w:val="false"/>
              <w:rPr>
                <w:rFonts w:ascii="Calibri" w:hAnsi="Calibri" w:eastAsia="Calibri" w:cs="Calibri"/>
                <w:color w:val="000000"/>
                <w:lang w:eastAsia="en-US"/>
              </w:rPr>
            </w:pPr>
            <w:r>
              <w:rPr>
                <w:rFonts w:eastAsia="Calibri" w:cs="Calibri" w:ascii="Calibri" w:hAnsi="Calibri"/>
                <w:color w:val="000000"/>
                <w:lang w:eastAsia="en-US"/>
              </w:rPr>
            </w:r>
          </w:p>
        </w:tc>
      </w:tr>
      <w:tr>
        <w:trPr>
          <w:trHeight w:val="300" w:hRule="atLeast"/>
        </w:trPr>
        <w:tc>
          <w:tcPr>
            <w:tcW w:w="9361" w:type="dxa"/>
            <w:gridSpan w:val="3"/>
            <w:tcBorders>
              <w:top w:val="single" w:sz="6" w:space="0" w:color="000000"/>
              <w:left w:val="single" w:sz="6" w:space="0" w:color="000000"/>
              <w:bottom w:val="single" w:sz="6" w:space="0" w:color="000000"/>
            </w:tcBorders>
            <w:vAlign w:val="center"/>
          </w:tcPr>
          <w:p>
            <w:pPr>
              <w:pStyle w:val="Normal"/>
              <w:rPr>
                <w:rFonts w:eastAsia="Calibri"/>
                <w:color w:val="000000"/>
                <w:lang w:eastAsia="en-US"/>
              </w:rPr>
            </w:pPr>
            <w:r>
              <w:rPr>
                <w:rFonts w:eastAsia="Calibri"/>
                <w:color w:val="000000"/>
                <w:lang w:eastAsia="en-US"/>
              </w:rPr>
              <w:t xml:space="preserve">Общепрофессиональные компетенции (ОПК) и (или) общие (общекультурные) компетенции (ОК), </w:t>
            </w:r>
            <w:r>
              <w:rPr>
                <w:rFonts w:eastAsia="Calibri"/>
                <w:lang w:eastAsia="en-US"/>
              </w:rPr>
              <w:t>подлежащие развитию в течение всего процесса обучения:</w:t>
            </w:r>
          </w:p>
          <w:p>
            <w:pPr>
              <w:pStyle w:val="Normal"/>
              <w:rPr>
                <w:rFonts w:eastAsia="Calibri"/>
                <w:lang w:eastAsia="en-US"/>
              </w:rPr>
            </w:pPr>
            <w:r>
              <w:rPr>
                <w:rFonts w:eastAsia="Calibri"/>
                <w:lang w:eastAsia="en-US"/>
              </w:rPr>
              <w:t>Способность работать в команде, толерантно воспринимать социальные, культурные и личностные различия.</w:t>
            </w:r>
          </w:p>
          <w:p>
            <w:pPr>
              <w:pStyle w:val="Normal"/>
              <w:rPr>
                <w:rFonts w:eastAsia="Calibri"/>
                <w:lang w:eastAsia="en-US"/>
              </w:rPr>
            </w:pPr>
            <w:r>
              <w:rPr>
                <w:rFonts w:eastAsia="Calibri"/>
                <w:lang w:eastAsia="en-US"/>
              </w:rPr>
              <w:t>Способность к самоорганизации и самообразованию.</w:t>
            </w:r>
          </w:p>
          <w:p>
            <w:pPr>
              <w:pStyle w:val="Normal"/>
              <w:rPr>
                <w:rFonts w:eastAsia="Calibri"/>
                <w:color w:val="000000"/>
                <w:lang w:eastAsia="en-US"/>
              </w:rPr>
            </w:pPr>
            <w:r>
              <w:rPr>
                <w:rFonts w:eastAsia="Calibri"/>
                <w:color w:val="000000"/>
                <w:lang w:eastAsia="en-US"/>
              </w:rPr>
              <w:t>Владение навыками эффективной коммуникации и сотрудничества.</w:t>
            </w:r>
          </w:p>
        </w:tc>
        <w:tc>
          <w:tcPr>
            <w:tcW w:w="23" w:type="dxa"/>
            <w:gridSpan w:val="2"/>
            <w:tcBorders>
              <w:bottom w:val="single" w:sz="6" w:space="0" w:color="000000"/>
            </w:tcBorders>
            <w:tcMar>
              <w:top w:w="0" w:type="dxa"/>
              <w:left w:w="0" w:type="dxa"/>
              <w:bottom w:w="0" w:type="dxa"/>
              <w:right w:w="0" w:type="dxa"/>
            </w:tcMar>
          </w:tcPr>
          <w:p>
            <w:pPr>
              <w:pStyle w:val="Normal"/>
              <w:snapToGrid w:val="false"/>
              <w:ind w:firstLine="390"/>
              <w:jc w:val="center"/>
              <w:rPr>
                <w:rFonts w:eastAsia="Calibri"/>
                <w:color w:val="000000"/>
                <w:lang w:eastAsia="en-US"/>
              </w:rPr>
            </w:pPr>
            <w:r>
              <w:rPr>
                <w:rFonts w:eastAsia="Calibri"/>
                <w:color w:val="000000"/>
                <w:lang w:eastAsia="en-US"/>
              </w:rPr>
            </w:r>
          </w:p>
        </w:tc>
        <w:tc>
          <w:tcPr>
            <w:tcW w:w="23" w:type="dxa"/>
            <w:tcBorders>
              <w:bottom w:val="single" w:sz="6" w:space="0" w:color="000000"/>
            </w:tcBorders>
            <w:tcMar>
              <w:top w:w="0" w:type="dxa"/>
              <w:left w:w="0" w:type="dxa"/>
              <w:bottom w:w="0" w:type="dxa"/>
              <w:right w:w="0" w:type="dxa"/>
            </w:tcMar>
            <w:vAlign w:val="center"/>
          </w:tcPr>
          <w:p>
            <w:pPr>
              <w:pStyle w:val="Normal"/>
              <w:snapToGrid w:val="false"/>
              <w:rPr>
                <w:rFonts w:eastAsia="Calibri"/>
                <w:color w:val="000000"/>
                <w:lang w:eastAsia="en-US"/>
              </w:rPr>
            </w:pPr>
            <w:r>
              <w:rPr>
                <w:rFonts w:eastAsia="Calibri"/>
                <w:color w:val="000000"/>
                <w:lang w:eastAsia="en-US"/>
              </w:rPr>
            </w:r>
          </w:p>
        </w:tc>
        <w:tc>
          <w:tcPr>
            <w:tcW w:w="38" w:type="dxa"/>
            <w:tcBorders>
              <w:bottom w:val="single" w:sz="6" w:space="0" w:color="000000"/>
              <w:right w:val="single" w:sz="6" w:space="0" w:color="000000"/>
            </w:tcBorders>
            <w:tcMar>
              <w:top w:w="0" w:type="dxa"/>
              <w:left w:w="0" w:type="dxa"/>
              <w:bottom w:w="0" w:type="dxa"/>
              <w:right w:w="0" w:type="dxa"/>
            </w:tcMar>
          </w:tcPr>
          <w:p>
            <w:pPr>
              <w:pStyle w:val="Normal"/>
              <w:snapToGrid w:val="false"/>
              <w:ind w:firstLine="390"/>
              <w:rPr>
                <w:rFonts w:eastAsia="Calibri"/>
                <w:color w:val="000000"/>
                <w:lang w:eastAsia="en-US"/>
              </w:rPr>
            </w:pPr>
            <w:r>
              <w:rPr>
                <w:rFonts w:eastAsia="Calibri"/>
                <w:color w:val="000000"/>
                <w:lang w:eastAsia="en-US"/>
              </w:rPr>
            </w:r>
          </w:p>
        </w:tc>
      </w:tr>
    </w:tbl>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eastAsia="Calibri"/>
          <w:b/>
          <w:b/>
          <w:color w:val="000000"/>
          <w:sz w:val="24"/>
          <w:szCs w:val="24"/>
          <w:lang w:eastAsia="en-US"/>
        </w:rPr>
      </w:pPr>
      <w:r>
        <w:rPr>
          <w:rFonts w:eastAsia="Calibri"/>
          <w:b/>
          <w:i/>
          <w:color w:val="000000"/>
          <w:sz w:val="24"/>
          <w:szCs w:val="24"/>
          <w:lang w:eastAsia="en-US"/>
        </w:rPr>
        <w:t>Оценка планируемых результатов обучения (паспорт оценочных средств для итоговой аттестации):</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eastAsia="Calibri"/>
          <w:b/>
          <w:b/>
          <w:color w:val="000000"/>
          <w:sz w:val="24"/>
          <w:szCs w:val="24"/>
          <w:lang w:eastAsia="en-US"/>
        </w:rPr>
      </w:pPr>
      <w:r>
        <w:rPr>
          <w:rFonts w:eastAsia="Calibri"/>
          <w:b/>
          <w:color w:val="000000"/>
          <w:sz w:val="24"/>
          <w:szCs w:val="24"/>
          <w:lang w:eastAsia="en-US"/>
        </w:rPr>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rFonts w:eastAsia="Calibri"/>
          <w:b/>
          <w:b/>
          <w:color w:val="FF0000"/>
          <w:sz w:val="24"/>
          <w:szCs w:val="24"/>
          <w:u w:val="single"/>
          <w:lang w:eastAsia="en-US"/>
        </w:rPr>
      </w:pPr>
      <w:r>
        <w:rPr>
          <w:rFonts w:eastAsia="Calibri"/>
          <w:color w:val="000000"/>
          <w:sz w:val="24"/>
          <w:szCs w:val="24"/>
          <w:lang w:eastAsia="en-US"/>
        </w:rPr>
        <w:t>ОЦЕНОЧНЫЕ МАТЕРИАЛЫ</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rFonts w:eastAsia="Calibri"/>
          <w:color w:val="000000"/>
          <w:sz w:val="24"/>
          <w:szCs w:val="24"/>
          <w:lang w:eastAsia="en-US"/>
        </w:rPr>
      </w:pPr>
      <w:r>
        <w:rPr>
          <w:rFonts w:eastAsia="Calibri"/>
          <w:color w:val="000000"/>
          <w:sz w:val="24"/>
          <w:szCs w:val="24"/>
          <w:lang w:eastAsia="en-US"/>
        </w:rPr>
        <w:t>для проведения итоговой аттестации</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eastAsia="Calibri"/>
          <w:color w:val="000000"/>
          <w:sz w:val="24"/>
          <w:szCs w:val="24"/>
          <w:lang w:eastAsia="en-US"/>
        </w:rPr>
      </w:pPr>
      <w:r>
        <w:rPr>
          <w:rFonts w:eastAsia="Calibri"/>
          <w:color w:val="000000"/>
          <w:sz w:val="24"/>
          <w:szCs w:val="24"/>
          <w:lang w:eastAsia="en-US"/>
        </w:rPr>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eastAsia="Calibri"/>
          <w:b/>
          <w:b/>
          <w:color w:val="000000"/>
          <w:sz w:val="24"/>
          <w:szCs w:val="24"/>
          <w:lang w:eastAsia="en-US"/>
        </w:rPr>
      </w:pPr>
      <w:r>
        <w:rPr>
          <w:rFonts w:eastAsia="Calibri"/>
          <w:b/>
          <w:color w:val="000000"/>
          <w:sz w:val="24"/>
          <w:szCs w:val="24"/>
          <w:lang w:eastAsia="en-US"/>
        </w:rPr>
        <w:t xml:space="preserve">Описание организации процедуры оценивания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eastAsia="Calibri"/>
          <w:b/>
          <w:b/>
          <w:color w:val="000000"/>
          <w:sz w:val="24"/>
          <w:szCs w:val="24"/>
          <w:lang w:eastAsia="en-US"/>
        </w:rPr>
      </w:pPr>
      <w:r>
        <w:rPr>
          <w:rFonts w:eastAsia="Calibri"/>
          <w:b/>
          <w:color w:val="000000"/>
          <w:sz w:val="24"/>
          <w:szCs w:val="24"/>
          <w:lang w:eastAsia="en-US"/>
        </w:rPr>
      </w:r>
    </w:p>
    <w:p>
      <w:pPr>
        <w:pStyle w:val="Normal"/>
        <w:ind w:firstLine="567"/>
        <w:jc w:val="both"/>
        <w:rPr>
          <w:rFonts w:eastAsia="Calibri"/>
          <w:sz w:val="24"/>
          <w:szCs w:val="24"/>
          <w:lang w:eastAsia="en-US"/>
        </w:rPr>
      </w:pPr>
      <w:r>
        <w:rPr>
          <w:rFonts w:eastAsia="Calibri"/>
          <w:sz w:val="24"/>
          <w:szCs w:val="24"/>
          <w:lang w:eastAsia="en-US"/>
        </w:rPr>
        <w:t>Итоговая аттестация по программе «Проектирование педагогических условий для преодоления синдрома дефицита внимания и гиперактивности у обучающихся в образовательном процессе» осуществляется в форме защиты выпускной аттестационной работы (портфолио). Объект, предмет и содержание портфолио должны соответствовать целям и содержанию программы повышения квалификации.</w:t>
      </w:r>
    </w:p>
    <w:p>
      <w:pPr>
        <w:pStyle w:val="Normal"/>
        <w:ind w:firstLine="567"/>
        <w:jc w:val="both"/>
        <w:rPr/>
      </w:pPr>
      <w:r>
        <w:rPr>
          <w:rFonts w:eastAsia="Calibri"/>
          <w:color w:val="000000"/>
          <w:sz w:val="24"/>
          <w:szCs w:val="24"/>
          <w:lang w:eastAsia="en-US"/>
        </w:rPr>
        <w:t>Процедура оценивания представляет собой публичную презентацию портфолио, п</w:t>
      </w:r>
      <w:r>
        <w:rPr>
          <w:rFonts w:eastAsia="Calibri"/>
          <w:sz w:val="24"/>
          <w:szCs w:val="24"/>
          <w:lang w:eastAsia="en-US"/>
        </w:rPr>
        <w:t>римерное время сообщения 7 - 10 минут.</w:t>
      </w:r>
    </w:p>
    <w:p>
      <w:pPr>
        <w:pStyle w:val="Normal"/>
        <w:ind w:firstLine="567"/>
        <w:jc w:val="both"/>
        <w:rPr>
          <w:rFonts w:eastAsia="Calibri"/>
          <w:sz w:val="24"/>
          <w:szCs w:val="24"/>
          <w:lang w:eastAsia="en-US"/>
        </w:rPr>
      </w:pPr>
      <w:r>
        <w:rPr>
          <w:rFonts w:eastAsia="Calibri"/>
          <w:sz w:val="24"/>
          <w:szCs w:val="24"/>
          <w:lang w:eastAsia="en-US"/>
        </w:rPr>
        <w:t>Итоговый контроль является дифференцированным и подразумевает обязательную оценку: «отлично», «хорошо», «удовлетворительно», «неудовлетворительно».</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eastAsia="Calibri"/>
          <w:color w:val="000000"/>
          <w:sz w:val="24"/>
          <w:szCs w:val="24"/>
          <w:lang w:eastAsia="en-US"/>
        </w:rPr>
      </w:pPr>
      <w:r>
        <w:rPr>
          <w:rFonts w:eastAsia="Calibri"/>
          <w:color w:val="000000"/>
          <w:sz w:val="24"/>
          <w:szCs w:val="24"/>
          <w:lang w:eastAsia="en-US"/>
        </w:rPr>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rFonts w:eastAsia="Calibri"/>
          <w:color w:val="000000"/>
          <w:sz w:val="24"/>
          <w:szCs w:val="24"/>
          <w:lang w:eastAsia="en-US"/>
        </w:rPr>
      </w:pPr>
      <w:r>
        <w:rPr>
          <w:rFonts w:eastAsia="Calibri"/>
          <w:color w:val="000000"/>
          <w:sz w:val="24"/>
          <w:szCs w:val="24"/>
          <w:lang w:eastAsia="en-US"/>
        </w:rPr>
        <w:t>ПАСПОРТ ОЦЕНОЧНОГО СРЕДСТВА</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rFonts w:eastAsia="Calibri"/>
          <w:color w:val="000000"/>
          <w:sz w:val="24"/>
          <w:szCs w:val="24"/>
          <w:lang w:eastAsia="en-US"/>
        </w:rPr>
      </w:pPr>
      <w:r>
        <w:rPr>
          <w:rFonts w:eastAsia="Calibri"/>
          <w:color w:val="000000"/>
          <w:sz w:val="24"/>
          <w:szCs w:val="24"/>
          <w:lang w:eastAsia="en-US"/>
        </w:rPr>
        <w:t>ПОДГОТОВКА И ЗАЩИТА ВЫПУСКНОЙ АТТЕСТАЦИОННОЙ РАБОТЫ</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rFonts w:eastAsia="Calibri"/>
          <w:color w:val="000000"/>
          <w:sz w:val="24"/>
          <w:szCs w:val="24"/>
          <w:lang w:eastAsia="en-US"/>
        </w:rPr>
      </w:pPr>
      <w:r>
        <w:rPr>
          <w:rFonts w:eastAsia="Calibri"/>
          <w:color w:val="000000"/>
          <w:sz w:val="24"/>
          <w:szCs w:val="24"/>
          <w:lang w:eastAsia="en-US"/>
        </w:rPr>
      </w:r>
    </w:p>
    <w:tbl>
      <w:tblPr>
        <w:tblW w:w="9451" w:type="dxa"/>
        <w:jc w:val="left"/>
        <w:tblInd w:w="-94" w:type="dxa"/>
        <w:tblLayout w:type="fixed"/>
        <w:tblCellMar>
          <w:top w:w="0" w:type="dxa"/>
          <w:left w:w="0" w:type="dxa"/>
          <w:bottom w:w="0" w:type="dxa"/>
          <w:right w:w="0" w:type="dxa"/>
        </w:tblCellMar>
      </w:tblPr>
      <w:tblGrid>
        <w:gridCol w:w="2065"/>
        <w:gridCol w:w="1417"/>
        <w:gridCol w:w="142"/>
        <w:gridCol w:w="3260"/>
        <w:gridCol w:w="2567"/>
      </w:tblGrid>
      <w:tr>
        <w:trPr>
          <w:trHeight w:val="300" w:hRule="atLeast"/>
        </w:trPr>
        <w:tc>
          <w:tcPr>
            <w:tcW w:w="9451" w:type="dxa"/>
            <w:gridSpan w:val="5"/>
            <w:tcBorders>
              <w:top w:val="single" w:sz="6" w:space="0" w:color="000000"/>
              <w:left w:val="single" w:sz="6" w:space="0" w:color="000000"/>
              <w:bottom w:val="single" w:sz="6" w:space="0" w:color="000000"/>
              <w:right w:val="single" w:sz="6" w:space="0" w:color="000000"/>
            </w:tcBorders>
          </w:tcPr>
          <w:p>
            <w:pPr>
              <w:pStyle w:val="Normal"/>
              <w:ind w:firstLine="567"/>
              <w:rPr>
                <w:rFonts w:eastAsia="Calibri"/>
                <w:b/>
                <w:b/>
                <w:color w:val="000000"/>
                <w:lang w:eastAsia="en-US"/>
              </w:rPr>
            </w:pPr>
            <w:r>
              <w:rPr>
                <w:rFonts w:eastAsia="Calibri"/>
                <w:b/>
                <w:color w:val="000000"/>
                <w:lang w:eastAsia="en-US"/>
              </w:rPr>
              <w:t>Примерная тематика:</w:t>
            </w:r>
          </w:p>
          <w:p>
            <w:pPr>
              <w:pStyle w:val="Normal"/>
              <w:numPr>
                <w:ilvl w:val="0"/>
                <w:numId w:val="12"/>
              </w:numPr>
              <w:tabs>
                <w:tab w:val="clear" w:pos="708"/>
                <w:tab w:val="left" w:pos="720" w:leader="none"/>
                <w:tab w:val="left" w:pos="888" w:leader="none"/>
              </w:tabs>
              <w:spacing w:lineRule="auto" w:line="276" w:before="0" w:after="200"/>
              <w:ind w:left="927" w:firstLine="567"/>
              <w:contextualSpacing/>
              <w:rPr>
                <w:rFonts w:eastAsia="Calibri"/>
              </w:rPr>
            </w:pPr>
            <w:r>
              <w:rPr>
                <w:rFonts w:eastAsia="Calibri"/>
                <w:color w:val="000000"/>
              </w:rPr>
              <w:t>Психофизиологические особенности детей с СДВГ, этиология и патогенез заболевания</w:t>
            </w:r>
            <w:r>
              <w:rPr>
                <w:rFonts w:eastAsia="Calibri"/>
                <w:color w:val="333333"/>
                <w:highlight w:val="yellow"/>
                <w:shd w:fill="FFFFFF" w:val="clear"/>
              </w:rPr>
              <w:t xml:space="preserve"> </w:t>
            </w:r>
          </w:p>
          <w:p>
            <w:pPr>
              <w:pStyle w:val="Normal"/>
              <w:numPr>
                <w:ilvl w:val="0"/>
                <w:numId w:val="12"/>
              </w:numPr>
              <w:tabs>
                <w:tab w:val="clear" w:pos="708"/>
                <w:tab w:val="left" w:pos="720" w:leader="none"/>
                <w:tab w:val="left" w:pos="888" w:leader="none"/>
              </w:tabs>
              <w:spacing w:lineRule="auto" w:line="276" w:before="0" w:after="200"/>
              <w:ind w:left="927" w:firstLine="567"/>
              <w:contextualSpacing/>
              <w:rPr>
                <w:rFonts w:eastAsia="Calibri"/>
              </w:rPr>
            </w:pPr>
            <w:r>
              <w:rPr>
                <w:rFonts w:eastAsia="Calibri"/>
              </w:rPr>
              <w:t>Психолого-педагогические подходы к коррекции нарушенных когнитивных функций детей с СДВГ</w:t>
            </w:r>
          </w:p>
          <w:p>
            <w:pPr>
              <w:pStyle w:val="Normal"/>
              <w:numPr>
                <w:ilvl w:val="0"/>
                <w:numId w:val="12"/>
              </w:numPr>
              <w:tabs>
                <w:tab w:val="clear" w:pos="708"/>
                <w:tab w:val="left" w:pos="720" w:leader="none"/>
                <w:tab w:val="left" w:pos="888" w:leader="none"/>
              </w:tabs>
              <w:spacing w:lineRule="auto" w:line="276" w:before="0" w:after="200"/>
              <w:ind w:left="927" w:firstLine="567"/>
              <w:contextualSpacing/>
              <w:rPr>
                <w:rFonts w:eastAsia="Calibri"/>
              </w:rPr>
            </w:pPr>
            <w:r>
              <w:rPr>
                <w:rFonts w:eastAsia="Calibri"/>
              </w:rPr>
              <w:t>Психолого-педагогические подходы к развитию мотивационной сферы детей с СДВГ</w:t>
            </w:r>
          </w:p>
          <w:p>
            <w:pPr>
              <w:pStyle w:val="Normal"/>
              <w:numPr>
                <w:ilvl w:val="0"/>
                <w:numId w:val="12"/>
              </w:numPr>
              <w:tabs>
                <w:tab w:val="clear" w:pos="708"/>
                <w:tab w:val="left" w:pos="720" w:leader="none"/>
                <w:tab w:val="left" w:pos="888" w:leader="none"/>
              </w:tabs>
              <w:spacing w:lineRule="auto" w:line="276" w:before="0" w:after="200"/>
              <w:ind w:left="927" w:firstLine="567"/>
              <w:contextualSpacing/>
              <w:rPr>
                <w:rFonts w:eastAsia="Calibri"/>
              </w:rPr>
            </w:pPr>
            <w:r>
              <w:rPr>
                <w:rFonts w:eastAsia="Calibri"/>
              </w:rPr>
              <w:t xml:space="preserve">Современные коррекционно-развивающие психолого-педагогические методы работы с детьми с СДВГ </w:t>
            </w:r>
          </w:p>
          <w:p>
            <w:pPr>
              <w:pStyle w:val="Normal"/>
              <w:numPr>
                <w:ilvl w:val="0"/>
                <w:numId w:val="12"/>
              </w:numPr>
              <w:tabs>
                <w:tab w:val="clear" w:pos="708"/>
                <w:tab w:val="left" w:pos="720" w:leader="none"/>
                <w:tab w:val="left" w:pos="888" w:leader="none"/>
              </w:tabs>
              <w:spacing w:lineRule="auto" w:line="276" w:before="0" w:after="200"/>
              <w:ind w:left="927" w:firstLine="567"/>
              <w:contextualSpacing/>
              <w:rPr>
                <w:rFonts w:eastAsia="Calibri"/>
              </w:rPr>
            </w:pPr>
            <w:r>
              <w:rPr>
                <w:rFonts w:eastAsia="Calibri"/>
              </w:rPr>
              <w:t xml:space="preserve">Современные коррекционно-развивающие психолого-педагогические технологии работы с детьми с СДВГ, используемые во внеурочной деятельности. </w:t>
            </w:r>
          </w:p>
          <w:p>
            <w:pPr>
              <w:pStyle w:val="Normal"/>
              <w:tabs>
                <w:tab w:val="clear" w:pos="708"/>
                <w:tab w:val="left" w:pos="720" w:leader="none"/>
                <w:tab w:val="left" w:pos="888" w:leader="none"/>
              </w:tabs>
              <w:spacing w:before="0" w:after="0"/>
              <w:ind w:left="567" w:hanging="0"/>
              <w:contextualSpacing/>
              <w:rPr>
                <w:rFonts w:eastAsia="Calibri"/>
              </w:rPr>
            </w:pPr>
            <w:r>
              <w:rPr>
                <w:rFonts w:eastAsia="Calibri"/>
              </w:rPr>
              <w:t xml:space="preserve">В качестве выпускной аттестационной работы слушатель представляет портфолио. </w:t>
            </w:r>
          </w:p>
          <w:p>
            <w:pPr>
              <w:pStyle w:val="Normal"/>
              <w:ind w:firstLine="567"/>
              <w:jc w:val="both"/>
              <w:rPr/>
            </w:pPr>
            <w:r>
              <w:rPr>
                <w:rFonts w:eastAsia="Calibri"/>
                <w:lang w:eastAsia="en-US"/>
              </w:rPr>
              <w:t xml:space="preserve">Портфолио включает описание технологии </w:t>
            </w:r>
            <w:r>
              <w:rPr/>
              <w:t>п</w:t>
            </w:r>
            <w:r>
              <w:rPr>
                <w:rFonts w:eastAsia="Calibri"/>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w:t>
            </w:r>
          </w:p>
          <w:p>
            <w:pPr>
              <w:pStyle w:val="Normal"/>
              <w:ind w:firstLine="567"/>
              <w:rPr/>
            </w:pPr>
            <w:r>
              <w:rPr>
                <w:rFonts w:eastAsia="Calibri"/>
                <w:b/>
                <w:color w:val="000000"/>
                <w:lang w:eastAsia="en-US"/>
              </w:rPr>
              <w:t>Требования к структуре и оформлению работы</w:t>
            </w:r>
            <w:r>
              <w:rPr>
                <w:rFonts w:eastAsia="Calibri"/>
                <w:color w:val="000000"/>
                <w:lang w:eastAsia="en-US"/>
              </w:rPr>
              <w:t xml:space="preserve"> (</w:t>
            </w:r>
            <w:r>
              <w:rPr>
                <w:rFonts w:eastAsia="Calibri"/>
                <w:i/>
                <w:color w:val="000000"/>
                <w:lang w:eastAsia="en-US"/>
              </w:rPr>
              <w:t>за исключение требований, описанных в локальных нормативных актах</w:t>
            </w:r>
            <w:r>
              <w:rPr>
                <w:rFonts w:eastAsia="Calibri"/>
                <w:color w:val="000000"/>
                <w:lang w:eastAsia="en-US"/>
              </w:rPr>
              <w:t>)</w:t>
            </w:r>
          </w:p>
          <w:p>
            <w:pPr>
              <w:pStyle w:val="Normal"/>
              <w:ind w:firstLine="567"/>
              <w:jc w:val="both"/>
              <w:rPr/>
            </w:pPr>
            <w:r>
              <w:rPr>
                <w:rFonts w:eastAsia="Calibri"/>
                <w:lang w:eastAsia="en-US"/>
              </w:rPr>
              <w:t>Содержание портфолио должно соответствовать характеру профессиональной деятельности слушателя, отражать современные подходы в дошкольном образовании, в том числе, реализуемом в семейной форме, соответствовать ФГОС ДО. Объем работы не должен превышать 15</w:t>
            </w:r>
            <w:r>
              <w:rPr>
                <w:rFonts w:eastAsia="Calibri"/>
                <w:b/>
                <w:lang w:eastAsia="en-US"/>
              </w:rPr>
              <w:t xml:space="preserve"> </w:t>
            </w:r>
            <w:r>
              <w:rPr>
                <w:rFonts w:eastAsia="Calibri"/>
                <w:lang w:eastAsia="en-US"/>
              </w:rPr>
              <w:t xml:space="preserve">страниц машинописного текста </w:t>
            </w:r>
            <w:r>
              <w:rPr>
                <w:rFonts w:eastAsia="Calibri"/>
                <w:lang w:val="en-US" w:eastAsia="en-US"/>
              </w:rPr>
              <w:t>Times</w:t>
            </w:r>
            <w:r>
              <w:rPr>
                <w:rFonts w:eastAsia="Calibri"/>
                <w:lang w:eastAsia="en-US"/>
              </w:rPr>
              <w:t xml:space="preserve"> </w:t>
            </w:r>
            <w:r>
              <w:rPr>
                <w:rFonts w:eastAsia="Calibri"/>
                <w:lang w:val="en-US" w:eastAsia="en-US"/>
              </w:rPr>
              <w:t>New</w:t>
            </w:r>
            <w:r>
              <w:rPr>
                <w:rFonts w:eastAsia="Calibri"/>
                <w:lang w:eastAsia="en-US"/>
              </w:rPr>
              <w:t xml:space="preserve"> </w:t>
            </w:r>
            <w:r>
              <w:rPr>
                <w:rFonts w:eastAsia="Calibri"/>
                <w:lang w:val="en-US" w:eastAsia="en-US"/>
              </w:rPr>
              <w:t>Roman</w:t>
            </w:r>
            <w:r>
              <w:rPr>
                <w:rFonts w:eastAsia="Calibri"/>
                <w:lang w:eastAsia="en-US"/>
              </w:rPr>
              <w:t xml:space="preserve"> 14 пт интервал 1,5.</w:t>
            </w:r>
          </w:p>
          <w:p>
            <w:pPr>
              <w:pStyle w:val="Normal"/>
              <w:ind w:firstLine="567"/>
              <w:rPr>
                <w:rFonts w:eastAsia="Calibri"/>
                <w:lang w:eastAsia="en-US"/>
              </w:rPr>
            </w:pPr>
            <w:r>
              <w:rPr>
                <w:rFonts w:eastAsia="Calibri"/>
                <w:lang w:eastAsia="en-US"/>
              </w:rPr>
              <w:t xml:space="preserve">Техническое оформление: Портфолио содержит титульный лист, перечень включенных тем и работ, список использованной литературы (не менее 3-х источников), ссылки на ФГОС ДО и ФЗ "Об образовании в Российской Федерации". </w:t>
            </w:r>
          </w:p>
          <w:p>
            <w:pPr>
              <w:pStyle w:val="Normal"/>
              <w:ind w:firstLine="567"/>
              <w:rPr>
                <w:rFonts w:eastAsia="Calibri"/>
                <w:lang w:eastAsia="en-US"/>
              </w:rPr>
            </w:pPr>
            <w:r>
              <w:rPr>
                <w:rFonts w:eastAsia="Calibri"/>
                <w:lang w:eastAsia="en-US"/>
              </w:rPr>
              <w:t xml:space="preserve">Объем текста работы не должен превышать 15 стандартных страниц, из которых: </w:t>
            </w:r>
          </w:p>
          <w:p>
            <w:pPr>
              <w:pStyle w:val="Normal"/>
              <w:numPr>
                <w:ilvl w:val="0"/>
                <w:numId w:val="17"/>
              </w:numPr>
              <w:spacing w:lineRule="auto" w:line="276" w:before="0" w:after="200"/>
              <w:ind w:left="930" w:firstLine="567"/>
              <w:contextualSpacing/>
              <w:rPr>
                <w:rFonts w:eastAsia="Calibri"/>
              </w:rPr>
            </w:pPr>
            <w:r>
              <w:rPr>
                <w:rFonts w:eastAsia="Calibri"/>
              </w:rPr>
              <w:t xml:space="preserve">1–2 страницы отводится на введение с описанием всех элементов включенных технологий (актуальности, проблемы, темы, объекта, предмета, цели, задач, демонстрируемых форм и методов); </w:t>
            </w:r>
          </w:p>
          <w:p>
            <w:pPr>
              <w:pStyle w:val="Normal"/>
              <w:numPr>
                <w:ilvl w:val="0"/>
                <w:numId w:val="17"/>
              </w:numPr>
              <w:spacing w:lineRule="auto" w:line="276" w:before="0" w:after="200"/>
              <w:ind w:left="930" w:firstLine="567"/>
              <w:contextualSpacing/>
              <w:rPr>
                <w:rFonts w:eastAsia="Calibri"/>
              </w:rPr>
            </w:pPr>
            <w:r>
              <w:rPr>
                <w:rFonts w:eastAsia="Calibri"/>
              </w:rPr>
              <w:t>1 страница отводится на заключение;</w:t>
            </w:r>
          </w:p>
          <w:p>
            <w:pPr>
              <w:pStyle w:val="Normal"/>
              <w:numPr>
                <w:ilvl w:val="0"/>
                <w:numId w:val="17"/>
              </w:numPr>
              <w:spacing w:lineRule="auto" w:line="276" w:before="0" w:after="200"/>
              <w:ind w:left="930" w:firstLine="567"/>
              <w:contextualSpacing/>
              <w:rPr>
                <w:rFonts w:eastAsia="Calibri"/>
              </w:rPr>
            </w:pPr>
            <w:r>
              <w:rPr>
                <w:rFonts w:eastAsia="Calibri"/>
              </w:rPr>
              <w:t xml:space="preserve">1 страница отводится на приведение всех использованных в работе литературных и интернет-источников, нормативная база; </w:t>
            </w:r>
          </w:p>
          <w:p>
            <w:pPr>
              <w:pStyle w:val="Normal"/>
              <w:numPr>
                <w:ilvl w:val="0"/>
                <w:numId w:val="17"/>
              </w:numPr>
              <w:spacing w:lineRule="auto" w:line="276" w:before="0" w:after="200"/>
              <w:ind w:left="930" w:firstLine="567"/>
              <w:contextualSpacing/>
              <w:rPr>
                <w:rFonts w:eastAsia="Calibri"/>
              </w:rPr>
            </w:pPr>
            <w:r>
              <w:rPr>
                <w:rFonts w:eastAsia="Calibri"/>
              </w:rPr>
              <w:t>остальной объем составляет основная часть работы.</w:t>
            </w:r>
          </w:p>
          <w:p>
            <w:pPr>
              <w:pStyle w:val="Normal"/>
              <w:ind w:firstLine="567"/>
              <w:rPr>
                <w:rFonts w:eastAsia="Calibri"/>
                <w:lang w:eastAsia="en-US"/>
              </w:rPr>
            </w:pPr>
            <w:r>
              <w:rPr>
                <w:rFonts w:eastAsia="Calibri"/>
                <w:lang w:eastAsia="en-US"/>
              </w:rPr>
              <w:t xml:space="preserve">Для уменьшения объема работы в тексте можно делать сокращения (аббревиатуры). </w:t>
            </w:r>
          </w:p>
          <w:p>
            <w:pPr>
              <w:pStyle w:val="Normal"/>
              <w:ind w:firstLine="567"/>
              <w:rPr>
                <w:rFonts w:eastAsia="Calibri"/>
                <w:lang w:eastAsia="en-US"/>
              </w:rPr>
            </w:pPr>
            <w:r>
              <w:rPr>
                <w:rFonts w:eastAsia="Calibri"/>
                <w:lang w:eastAsia="en-US"/>
              </w:rPr>
              <w:t xml:space="preserve">Для этого необходимо один раз написать полное название того, что необходимо подвергнуть сокращению, затем в круглых скобках записать само сокращение, а затем далее по тексту пользоваться вышеприведенным сокращением. </w:t>
            </w:r>
          </w:p>
          <w:p>
            <w:pPr>
              <w:pStyle w:val="Normal"/>
              <w:ind w:firstLine="567"/>
              <w:rPr>
                <w:rFonts w:eastAsia="Calibri"/>
                <w:lang w:eastAsia="en-US"/>
              </w:rPr>
            </w:pPr>
            <w:r>
              <w:rPr>
                <w:rFonts w:eastAsia="Calibri"/>
                <w:lang w:eastAsia="en-US"/>
              </w:rPr>
              <w:t xml:space="preserve">Титульный лист должен содержать такие элементы, как: </w:t>
            </w:r>
          </w:p>
          <w:p>
            <w:pPr>
              <w:pStyle w:val="Normal"/>
              <w:tabs>
                <w:tab w:val="clear" w:pos="708"/>
                <w:tab w:val="left" w:pos="789" w:leader="none"/>
              </w:tabs>
              <w:ind w:firstLine="567"/>
              <w:rPr>
                <w:rFonts w:eastAsia="Calibri"/>
                <w:lang w:eastAsia="en-US"/>
              </w:rPr>
            </w:pPr>
            <w:r>
              <w:rPr>
                <w:rFonts w:eastAsia="Calibri"/>
                <w:lang w:eastAsia="en-US"/>
              </w:rPr>
              <w:t>•</w:t>
            </w:r>
            <w:r>
              <w:rPr>
                <w:rFonts w:eastAsia="Calibri"/>
                <w:lang w:eastAsia="en-US"/>
              </w:rPr>
              <w:tab/>
              <w:t xml:space="preserve">полное название образовательной организации, в которой слушатель осваивал программу повышения квалификации; </w:t>
            </w:r>
          </w:p>
          <w:p>
            <w:pPr>
              <w:pStyle w:val="Normal"/>
              <w:tabs>
                <w:tab w:val="clear" w:pos="708"/>
                <w:tab w:val="left" w:pos="789" w:leader="none"/>
              </w:tabs>
              <w:ind w:firstLine="567"/>
              <w:rPr>
                <w:rFonts w:eastAsia="Calibri"/>
                <w:lang w:eastAsia="en-US"/>
              </w:rPr>
            </w:pPr>
            <w:r>
              <w:rPr>
                <w:rFonts w:eastAsia="Calibri"/>
                <w:lang w:eastAsia="en-US"/>
              </w:rPr>
              <w:t>•</w:t>
            </w:r>
            <w:r>
              <w:rPr>
                <w:rFonts w:eastAsia="Calibri"/>
                <w:lang w:eastAsia="en-US"/>
              </w:rPr>
              <w:tab/>
              <w:t>название экзаменационной работы на титульном листе пишется со словами «по теме», в кавычках;</w:t>
            </w:r>
          </w:p>
          <w:p>
            <w:pPr>
              <w:pStyle w:val="Normal"/>
              <w:tabs>
                <w:tab w:val="clear" w:pos="708"/>
                <w:tab w:val="left" w:pos="789" w:leader="none"/>
              </w:tabs>
              <w:ind w:firstLine="567"/>
              <w:rPr>
                <w:rFonts w:eastAsia="Calibri"/>
                <w:lang w:eastAsia="en-US"/>
              </w:rPr>
            </w:pPr>
            <w:r>
              <w:rPr>
                <w:rFonts w:eastAsia="Calibri"/>
                <w:lang w:eastAsia="en-US"/>
              </w:rPr>
              <w:t>•</w:t>
            </w:r>
            <w:r>
              <w:rPr>
                <w:rFonts w:eastAsia="Calibri"/>
                <w:lang w:eastAsia="en-US"/>
              </w:rPr>
              <w:tab/>
              <w:t xml:space="preserve">сведения о слушателе, выполнившем экзаменационную работу, которая включает его фамилию, имя, отчество, название программы повышения квалификации; </w:t>
            </w:r>
          </w:p>
          <w:p>
            <w:pPr>
              <w:pStyle w:val="Normal"/>
              <w:tabs>
                <w:tab w:val="clear" w:pos="708"/>
                <w:tab w:val="left" w:pos="789" w:leader="none"/>
              </w:tabs>
              <w:ind w:firstLine="567"/>
              <w:rPr>
                <w:rFonts w:eastAsia="Calibri"/>
                <w:lang w:eastAsia="en-US"/>
              </w:rPr>
            </w:pPr>
            <w:r>
              <w:rPr>
                <w:rFonts w:eastAsia="Calibri"/>
                <w:lang w:eastAsia="en-US"/>
              </w:rPr>
              <w:t>•</w:t>
            </w:r>
            <w:r>
              <w:rPr>
                <w:rFonts w:eastAsia="Calibri"/>
                <w:lang w:eastAsia="en-US"/>
              </w:rPr>
              <w:tab/>
              <w:t xml:space="preserve">сведения о кураторе (фамилия, имя, отчество, должность или звание, научная степень, место работы); </w:t>
            </w:r>
          </w:p>
          <w:p>
            <w:pPr>
              <w:pStyle w:val="Normal"/>
              <w:tabs>
                <w:tab w:val="clear" w:pos="708"/>
                <w:tab w:val="left" w:pos="789" w:leader="none"/>
              </w:tabs>
              <w:ind w:firstLine="567"/>
              <w:rPr>
                <w:rFonts w:eastAsia="Calibri"/>
                <w:lang w:eastAsia="en-US"/>
              </w:rPr>
            </w:pPr>
            <w:r>
              <w:rPr>
                <w:rFonts w:eastAsia="Calibri"/>
                <w:lang w:eastAsia="en-US"/>
              </w:rPr>
              <w:t>•</w:t>
            </w:r>
            <w:r>
              <w:rPr>
                <w:rFonts w:eastAsia="Calibri"/>
                <w:lang w:eastAsia="en-US"/>
              </w:rPr>
              <w:tab/>
              <w:t>город, в котором была выполнена работа, а также год выполнения слушателем работы.</w:t>
            </w:r>
          </w:p>
          <w:p>
            <w:pPr>
              <w:pStyle w:val="Normal"/>
              <w:ind w:firstLine="567"/>
              <w:jc w:val="both"/>
              <w:rPr>
                <w:rFonts w:eastAsia="Calibri"/>
                <w:color w:val="000000"/>
                <w:lang w:eastAsia="en-US"/>
              </w:rPr>
            </w:pPr>
            <w:r>
              <w:rPr>
                <w:rFonts w:eastAsia="Calibri"/>
                <w:lang w:eastAsia="en-US"/>
              </w:rPr>
              <w:t>Соблюдены правила форматирование текста (Работа выполняется на стандартных листах белой бумаги формата А4. Размер шрифта – 12 кегль) через полуторный интервал между строками на одной стороне листа. На каждом листе работы, включая титульный лист, оставляются поля: слева – 3 см, сверху и снизу по 2 см, справа – 1 см. Защита экзаменационной работы проводится на открытом заседании ИАК.</w:t>
            </w:r>
          </w:p>
        </w:tc>
      </w:tr>
      <w:tr>
        <w:trPr>
          <w:trHeight w:val="300" w:hRule="atLeast"/>
        </w:trPr>
        <w:tc>
          <w:tcPr>
            <w:tcW w:w="9451" w:type="dxa"/>
            <w:gridSpan w:val="5"/>
            <w:tcBorders>
              <w:top w:val="single" w:sz="6" w:space="0" w:color="000000"/>
              <w:left w:val="single" w:sz="6" w:space="0" w:color="000000"/>
              <w:bottom w:val="single" w:sz="6" w:space="0" w:color="000000"/>
              <w:right w:val="single" w:sz="6" w:space="0" w:color="000000"/>
            </w:tcBorders>
          </w:tcPr>
          <w:p>
            <w:pPr>
              <w:pStyle w:val="Normal"/>
              <w:ind w:firstLine="567"/>
              <w:jc w:val="center"/>
              <w:rPr>
                <w:rFonts w:eastAsia="Calibri"/>
                <w:b/>
                <w:b/>
                <w:color w:val="000000"/>
                <w:lang w:eastAsia="en-US"/>
              </w:rPr>
            </w:pPr>
            <w:r>
              <w:rPr>
                <w:rFonts w:eastAsia="Calibri"/>
                <w:b/>
                <w:color w:val="000000"/>
                <w:lang w:eastAsia="en-US"/>
              </w:rPr>
              <w:t>Оценка работы (включая структуру и оформление)</w:t>
            </w:r>
          </w:p>
        </w:tc>
      </w:tr>
      <w:tr>
        <w:trPr>
          <w:trHeight w:val="300" w:hRule="atLeast"/>
        </w:trPr>
        <w:tc>
          <w:tcPr>
            <w:tcW w:w="3482" w:type="dxa"/>
            <w:gridSpan w:val="2"/>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 xml:space="preserve">Предмет(ы) </w:t>
            </w:r>
          </w:p>
          <w:p>
            <w:pPr>
              <w:pStyle w:val="Normal"/>
              <w:jc w:val="center"/>
              <w:rPr>
                <w:rFonts w:eastAsia="Calibri"/>
                <w:color w:val="000000"/>
                <w:lang w:eastAsia="en-US"/>
              </w:rPr>
            </w:pPr>
            <w:r>
              <w:rPr>
                <w:rFonts w:eastAsia="Calibri"/>
                <w:color w:val="000000"/>
                <w:lang w:eastAsia="en-US"/>
              </w:rPr>
              <w:t>Оценивания</w:t>
            </w:r>
          </w:p>
          <w:p>
            <w:pPr>
              <w:pStyle w:val="Normal"/>
              <w:jc w:val="center"/>
              <w:rPr>
                <w:rFonts w:eastAsia="Calibri"/>
                <w:color w:val="000000"/>
                <w:lang w:eastAsia="en-US"/>
              </w:rPr>
            </w:pPr>
            <w:r>
              <w:rPr>
                <w:rFonts w:eastAsia="Calibri"/>
                <w:color w:val="000000"/>
                <w:lang w:eastAsia="en-US"/>
              </w:rPr>
            </w:r>
          </w:p>
        </w:tc>
        <w:tc>
          <w:tcPr>
            <w:tcW w:w="3402"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jc w:val="center"/>
              <w:rPr>
                <w:rFonts w:eastAsia="Calibri"/>
                <w:lang w:eastAsia="en-US"/>
              </w:rPr>
            </w:pPr>
            <w:r>
              <w:rPr>
                <w:rFonts w:eastAsia="Calibri"/>
                <w:lang w:eastAsia="en-US"/>
              </w:rPr>
              <w:t xml:space="preserve">Критерии </w:t>
            </w:r>
          </w:p>
          <w:p>
            <w:pPr>
              <w:pStyle w:val="Normal"/>
              <w:jc w:val="center"/>
              <w:rPr>
                <w:rFonts w:eastAsia="Calibri"/>
                <w:lang w:eastAsia="en-US"/>
              </w:rPr>
            </w:pPr>
            <w:r>
              <w:rPr>
                <w:rFonts w:eastAsia="Calibri"/>
                <w:lang w:eastAsia="en-US"/>
              </w:rPr>
              <w:t>Оценки</w:t>
            </w:r>
          </w:p>
          <w:p>
            <w:pPr>
              <w:pStyle w:val="Normal"/>
              <w:jc w:val="center"/>
              <w:rPr>
                <w:rFonts w:eastAsia="Calibri"/>
              </w:rPr>
            </w:pPr>
            <w:r>
              <w:rPr>
                <w:rFonts w:eastAsia="Times New Roman"/>
                <w:lang w:eastAsia="en-US"/>
              </w:rPr>
              <w:t xml:space="preserve"> </w:t>
            </w:r>
          </w:p>
        </w:tc>
        <w:tc>
          <w:tcPr>
            <w:tcW w:w="256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567"/>
              <w:jc w:val="center"/>
              <w:rPr>
                <w:rFonts w:eastAsia="Calibri"/>
                <w:lang w:eastAsia="en-US"/>
              </w:rPr>
            </w:pPr>
            <w:r>
              <w:rPr>
                <w:rFonts w:eastAsia="Calibri"/>
                <w:lang w:eastAsia="en-US"/>
              </w:rPr>
              <w:t>Показатели</w:t>
            </w:r>
          </w:p>
          <w:p>
            <w:pPr>
              <w:pStyle w:val="Normal"/>
              <w:ind w:firstLine="567"/>
              <w:jc w:val="center"/>
              <w:rPr>
                <w:rFonts w:eastAsia="Calibri"/>
                <w:lang w:eastAsia="en-US"/>
              </w:rPr>
            </w:pPr>
            <w:r>
              <w:rPr>
                <w:rFonts w:eastAsia="Calibri"/>
                <w:lang w:eastAsia="en-US"/>
              </w:rPr>
              <w:t>оценки</w:t>
            </w:r>
          </w:p>
        </w:tc>
      </w:tr>
      <w:tr>
        <w:trPr>
          <w:trHeight w:val="300" w:hRule="atLeast"/>
        </w:trPr>
        <w:tc>
          <w:tcPr>
            <w:tcW w:w="3482" w:type="dxa"/>
            <w:gridSpan w:val="2"/>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lang w:eastAsia="en-US"/>
              </w:rPr>
              <w:t>Готовность осуществлять оценку параметров и проектирование психологически безопасной и комфортной образовательной среды</w:t>
            </w:r>
          </w:p>
        </w:tc>
        <w:tc>
          <w:tcPr>
            <w:tcW w:w="3402"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rPr>
                <w:rFonts w:eastAsia="Calibri"/>
                <w:lang w:eastAsia="en-US"/>
              </w:rPr>
            </w:pPr>
            <w:r>
              <w:rPr>
                <w:rFonts w:eastAsia="Calibri"/>
                <w:lang w:eastAsia="en-US"/>
              </w:rPr>
              <w:t>1. Представлены и обоснованы критерии оценки психологически безопасной и комфортной образовательной среды</w:t>
            </w:r>
          </w:p>
          <w:p>
            <w:pPr>
              <w:pStyle w:val="Normal"/>
              <w:rPr/>
            </w:pPr>
            <w:r>
              <w:rPr>
                <w:rFonts w:eastAsia="Calibri"/>
                <w:lang w:eastAsia="en-US"/>
              </w:rPr>
              <w:t>2. Описаны и обоснованы этапы проектирования психологически безопасной и комфортной образовательной среды</w:t>
            </w:r>
            <w:r>
              <w:rPr>
                <w:rFonts w:eastAsia="Calibri"/>
                <w:color w:val="000000"/>
                <w:lang w:eastAsia="en-US"/>
              </w:rPr>
              <w:t xml:space="preserve"> </w:t>
            </w:r>
          </w:p>
          <w:p>
            <w:pPr>
              <w:pStyle w:val="Normal"/>
              <w:rPr/>
            </w:pPr>
            <w:r>
              <w:rPr>
                <w:rFonts w:eastAsia="Calibri"/>
                <w:color w:val="000000"/>
                <w:lang w:eastAsia="en-US"/>
              </w:rPr>
              <w:t xml:space="preserve">3. Представленная работа соответствует современной нормативно-правовой базе в области </w:t>
            </w:r>
            <w:r>
              <w:rPr/>
              <w:t>работы с детьми с особыми образовательными потребностями</w:t>
            </w:r>
            <w:r>
              <w:rPr>
                <w:rFonts w:eastAsia="Calibri"/>
                <w:color w:val="000000"/>
                <w:highlight w:val="yellow"/>
                <w:lang w:eastAsia="en-US"/>
              </w:rPr>
              <w:t xml:space="preserve"> </w:t>
            </w:r>
          </w:p>
        </w:tc>
        <w:tc>
          <w:tcPr>
            <w:tcW w:w="2567" w:type="dxa"/>
            <w:vMerge w:val="restart"/>
            <w:tcBorders>
              <w:top w:val="single" w:sz="6" w:space="0" w:color="000000"/>
              <w:left w:val="single" w:sz="6" w:space="0" w:color="000000"/>
              <w:right w:val="single" w:sz="6" w:space="0" w:color="000000"/>
            </w:tcBorders>
            <w:tcMar>
              <w:top w:w="140" w:type="dxa"/>
              <w:left w:w="80" w:type="dxa"/>
              <w:bottom w:w="140" w:type="dxa"/>
              <w:right w:w="80" w:type="dxa"/>
            </w:tcMar>
          </w:tcPr>
          <w:p>
            <w:pPr>
              <w:pStyle w:val="Normal"/>
              <w:ind w:firstLine="113"/>
              <w:rPr>
                <w:rFonts w:eastAsia="Calibri"/>
                <w:color w:val="000000"/>
                <w:lang w:eastAsia="en-US"/>
              </w:rPr>
            </w:pPr>
            <w:r>
              <w:rPr>
                <w:rFonts w:eastAsia="Calibri"/>
                <w:color w:val="000000"/>
                <w:lang w:eastAsia="en-US"/>
              </w:rPr>
              <w:t>Полностью или частично по всем критериям</w:t>
            </w:r>
          </w:p>
        </w:tc>
      </w:tr>
      <w:tr>
        <w:trPr>
          <w:trHeight w:val="300" w:hRule="atLeast"/>
        </w:trPr>
        <w:tc>
          <w:tcPr>
            <w:tcW w:w="3482" w:type="dxa"/>
            <w:gridSpan w:val="2"/>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lang w:eastAsia="en-US"/>
              </w:rPr>
              <w:t>Готовность осуществлять разработку (совместно с другими специалистами) и реализацию совместно с родителями (законными представителями) программ индивидуального развития ребенка</w:t>
            </w:r>
          </w:p>
        </w:tc>
        <w:tc>
          <w:tcPr>
            <w:tcW w:w="3402"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numPr>
                <w:ilvl w:val="0"/>
                <w:numId w:val="30"/>
              </w:numPr>
              <w:tabs>
                <w:tab w:val="clear" w:pos="708"/>
                <w:tab w:val="left" w:pos="0" w:leader="none"/>
                <w:tab w:val="left" w:pos="345" w:leader="none"/>
              </w:tabs>
              <w:spacing w:lineRule="auto" w:line="276" w:before="0" w:after="200"/>
              <w:contextualSpacing/>
              <w:rPr>
                <w:rFonts w:eastAsia="Calibri"/>
              </w:rPr>
            </w:pPr>
            <w:r>
              <w:rPr>
                <w:rFonts w:eastAsia="Calibri"/>
              </w:rPr>
              <w:t xml:space="preserve">Обоснована актуальность разработанной программы индивидуального развития ребенка с СДВГ </w:t>
            </w:r>
          </w:p>
          <w:p>
            <w:pPr>
              <w:pStyle w:val="Normal"/>
              <w:numPr>
                <w:ilvl w:val="0"/>
                <w:numId w:val="30"/>
              </w:numPr>
              <w:tabs>
                <w:tab w:val="clear" w:pos="708"/>
                <w:tab w:val="left" w:pos="0" w:leader="none"/>
                <w:tab w:val="left" w:pos="345" w:leader="none"/>
              </w:tabs>
              <w:spacing w:lineRule="auto" w:line="276" w:before="0" w:after="200"/>
              <w:contextualSpacing/>
              <w:rPr>
                <w:rFonts w:eastAsia="Calibri"/>
              </w:rPr>
            </w:pPr>
            <w:r>
              <w:rPr>
                <w:rFonts w:eastAsia="Calibri"/>
              </w:rPr>
              <w:t>Описаны и обоснованы этапы программы индивидуального развития ребенка с СДВГ</w:t>
            </w:r>
          </w:p>
          <w:p>
            <w:pPr>
              <w:pStyle w:val="Normal"/>
              <w:jc w:val="both"/>
              <w:rPr>
                <w:rFonts w:eastAsia="Calibri"/>
                <w:color w:val="000000"/>
                <w:highlight w:val="yellow"/>
                <w:lang w:eastAsia="en-US"/>
              </w:rPr>
            </w:pPr>
            <w:r>
              <w:rPr>
                <w:rFonts w:eastAsia="Calibri"/>
                <w:lang w:eastAsia="en-US"/>
              </w:rPr>
              <w:t>2. Представленная программа опирается на современные представления о психофизиологических и личностных особенностях обучающихся с СДВГ</w:t>
            </w:r>
          </w:p>
        </w:tc>
        <w:tc>
          <w:tcPr>
            <w:tcW w:w="2567" w:type="dxa"/>
            <w:vMerge w:val="continue"/>
            <w:tcBorders>
              <w:top w:val="single" w:sz="6" w:space="0" w:color="000000"/>
              <w:left w:val="single" w:sz="6" w:space="0" w:color="000000"/>
              <w:right w:val="single" w:sz="6" w:space="0" w:color="000000"/>
            </w:tcBorders>
            <w:tcMar>
              <w:top w:w="140" w:type="dxa"/>
              <w:left w:w="80" w:type="dxa"/>
              <w:bottom w:w="140" w:type="dxa"/>
              <w:right w:w="80" w:type="dxa"/>
            </w:tcMar>
          </w:tcPr>
          <w:p>
            <w:pPr>
              <w:pStyle w:val="Normal"/>
              <w:snapToGrid w:val="false"/>
              <w:ind w:firstLine="113"/>
              <w:rPr>
                <w:rFonts w:eastAsia="Calibri"/>
                <w:color w:val="000000"/>
                <w:highlight w:val="yellow"/>
                <w:lang w:eastAsia="en-US"/>
              </w:rPr>
            </w:pPr>
            <w:r>
              <w:rPr>
                <w:rFonts w:eastAsia="Calibri"/>
                <w:color w:val="000000"/>
                <w:highlight w:val="yellow"/>
                <w:lang w:eastAsia="en-US"/>
              </w:rPr>
            </w:r>
          </w:p>
        </w:tc>
      </w:tr>
      <w:tr>
        <w:trPr>
          <w:trHeight w:val="300" w:hRule="atLeast"/>
        </w:trPr>
        <w:tc>
          <w:tcPr>
            <w:tcW w:w="3482" w:type="dxa"/>
            <w:gridSpan w:val="2"/>
            <w:tcBorders>
              <w:top w:val="single" w:sz="6" w:space="0" w:color="000000"/>
              <w:left w:val="single" w:sz="6" w:space="0" w:color="000000"/>
              <w:bottom w:val="single" w:sz="6" w:space="0" w:color="000000"/>
              <w:right w:val="single" w:sz="6" w:space="0" w:color="000000"/>
            </w:tcBorders>
          </w:tcPr>
          <w:p>
            <w:pPr>
              <w:pStyle w:val="Normal"/>
              <w:spacing w:before="0" w:after="0"/>
              <w:contextualSpacing/>
              <w:rPr>
                <w:rFonts w:eastAsia="Calibri"/>
                <w:color w:val="000000"/>
              </w:rPr>
            </w:pPr>
            <w:r>
              <w:rPr>
                <w:rFonts w:eastAsia="Calibri"/>
              </w:rPr>
              <w:t>Готовность применять психолого-педагогические технологии (в том числе инклюзивные), необходимых для адресной работы с детьми с особыми образовательными потребностями (дети с синдромом дефицита внимания и гиперактивностью)</w:t>
            </w:r>
          </w:p>
        </w:tc>
        <w:tc>
          <w:tcPr>
            <w:tcW w:w="3402" w:type="dxa"/>
            <w:gridSpan w:val="2"/>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rPr/>
            </w:pPr>
            <w:r>
              <w:rPr>
                <w:rFonts w:eastAsia="Calibri"/>
                <w:color w:val="000000"/>
                <w:lang w:eastAsia="en-US"/>
              </w:rPr>
              <w:t xml:space="preserve">1. В содержании портфолио описаны формы и методы </w:t>
            </w:r>
            <w:r>
              <w:rPr>
                <w:rFonts w:eastAsia="Calibri"/>
                <w:lang w:eastAsia="en-US"/>
              </w:rPr>
              <w:t>адресной работы с детьми с особыми образовательными потребностями (дети с синдромом дефицита внимания и гиперактивностью)</w:t>
            </w:r>
          </w:p>
          <w:p>
            <w:pPr>
              <w:pStyle w:val="Normal"/>
              <w:rPr>
                <w:rFonts w:eastAsia="Calibri"/>
                <w:lang w:eastAsia="en-US"/>
              </w:rPr>
            </w:pPr>
            <w:r>
              <w:rPr>
                <w:rFonts w:eastAsia="Calibri"/>
                <w:lang w:eastAsia="en-US"/>
              </w:rPr>
              <w:t xml:space="preserve">2. Описаны педагогические условия для преодоления синдрома дефицита внимания и гиперактивности у обучающихся в образовательном процессе </w:t>
            </w:r>
          </w:p>
          <w:p>
            <w:pPr>
              <w:pStyle w:val="Normal"/>
              <w:rPr>
                <w:rFonts w:eastAsia="Calibri"/>
                <w:color w:val="000000"/>
                <w:highlight w:val="yellow"/>
                <w:lang w:eastAsia="en-US"/>
              </w:rPr>
            </w:pPr>
            <w:r>
              <w:rPr>
                <w:rFonts w:eastAsia="Calibri"/>
                <w:lang w:eastAsia="en-US"/>
              </w:rPr>
              <w:t>3. Работа соответствует требованиям к структуре и оформлению портфолио</w:t>
            </w:r>
          </w:p>
        </w:tc>
        <w:tc>
          <w:tcPr>
            <w:tcW w:w="2567" w:type="dxa"/>
            <w:vMerge w:val="continue"/>
            <w:tcBorders>
              <w:top w:val="single" w:sz="6" w:space="0" w:color="000000"/>
              <w:left w:val="single" w:sz="6" w:space="0" w:color="000000"/>
              <w:right w:val="single" w:sz="6" w:space="0" w:color="000000"/>
            </w:tcBorders>
            <w:tcMar>
              <w:top w:w="140" w:type="dxa"/>
              <w:left w:w="80" w:type="dxa"/>
              <w:bottom w:w="140" w:type="dxa"/>
              <w:right w:w="80" w:type="dxa"/>
            </w:tcMar>
          </w:tcPr>
          <w:p>
            <w:pPr>
              <w:pStyle w:val="Normal"/>
              <w:snapToGrid w:val="false"/>
              <w:ind w:firstLine="113"/>
              <w:rPr>
                <w:rFonts w:eastAsia="Calibri"/>
                <w:color w:val="000000"/>
                <w:highlight w:val="yellow"/>
                <w:lang w:eastAsia="en-US"/>
              </w:rPr>
            </w:pPr>
            <w:r>
              <w:rPr>
                <w:rFonts w:eastAsia="Calibri"/>
                <w:color w:val="000000"/>
                <w:highlight w:val="yellow"/>
                <w:lang w:eastAsia="en-US"/>
              </w:rPr>
            </w:r>
          </w:p>
        </w:tc>
      </w:tr>
      <w:tr>
        <w:trPr>
          <w:trHeight w:val="300" w:hRule="atLeast"/>
        </w:trPr>
        <w:tc>
          <w:tcPr>
            <w:tcW w:w="2065" w:type="dxa"/>
            <w:tcBorders>
              <w:top w:val="single" w:sz="6" w:space="0" w:color="000000"/>
              <w:left w:val="single" w:sz="6" w:space="0" w:color="000000"/>
              <w:bottom w:val="single" w:sz="6" w:space="0" w:color="000000"/>
            </w:tcBorders>
          </w:tcPr>
          <w:p>
            <w:pPr>
              <w:pStyle w:val="Normal"/>
              <w:snapToGrid w:val="false"/>
              <w:ind w:firstLine="113"/>
              <w:rPr>
                <w:rFonts w:ascii="Calibri" w:hAnsi="Calibri" w:eastAsia="Calibri" w:cs="Calibri"/>
                <w:color w:val="000000"/>
                <w:lang w:eastAsia="en-US"/>
              </w:rPr>
            </w:pPr>
            <w:r>
              <w:rPr>
                <w:rFonts w:eastAsia="Calibri" w:cs="Calibri" w:ascii="Calibri" w:hAnsi="Calibri"/>
                <w:color w:val="000000"/>
                <w:lang w:eastAsia="en-US"/>
              </w:rPr>
            </w:r>
          </w:p>
        </w:tc>
        <w:tc>
          <w:tcPr>
            <w:tcW w:w="7386" w:type="dxa"/>
            <w:gridSpan w:val="4"/>
            <w:tcBorders>
              <w:top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113"/>
              <w:jc w:val="center"/>
              <w:rPr>
                <w:rFonts w:eastAsia="Calibri"/>
                <w:b/>
                <w:b/>
                <w:color w:val="000000"/>
                <w:lang w:eastAsia="en-US"/>
              </w:rPr>
            </w:pPr>
            <w:r>
              <w:rPr>
                <w:rFonts w:eastAsia="Calibri"/>
                <w:b/>
                <w:color w:val="000000"/>
                <w:lang w:eastAsia="en-US"/>
              </w:rPr>
              <w:t>Оценка процедуры защиты</w:t>
            </w:r>
          </w:p>
        </w:tc>
      </w:tr>
      <w:tr>
        <w:trPr>
          <w:trHeight w:val="300" w:hRule="atLeast"/>
        </w:trPr>
        <w:tc>
          <w:tcPr>
            <w:tcW w:w="3624" w:type="dxa"/>
            <w:gridSpan w:val="3"/>
            <w:tcBorders>
              <w:top w:val="single" w:sz="6" w:space="0" w:color="000000"/>
              <w:left w:val="single" w:sz="6" w:space="0" w:color="000000"/>
              <w:bottom w:val="single" w:sz="6" w:space="0" w:color="000000"/>
              <w:right w:val="single" w:sz="6" w:space="0" w:color="000000"/>
            </w:tcBorders>
          </w:tcPr>
          <w:p>
            <w:pPr>
              <w:pStyle w:val="Normal"/>
              <w:ind w:firstLine="113"/>
              <w:jc w:val="center"/>
              <w:rPr>
                <w:rFonts w:eastAsia="Calibri"/>
                <w:color w:val="000000"/>
                <w:lang w:eastAsia="en-US"/>
              </w:rPr>
            </w:pPr>
            <w:r>
              <w:rPr>
                <w:rFonts w:eastAsia="Calibri"/>
                <w:color w:val="000000"/>
                <w:lang w:eastAsia="en-US"/>
              </w:rPr>
              <w:t xml:space="preserve">Предмет(ы) </w:t>
            </w:r>
          </w:p>
          <w:p>
            <w:pPr>
              <w:pStyle w:val="Normal"/>
              <w:ind w:firstLine="113"/>
              <w:jc w:val="center"/>
              <w:rPr>
                <w:rFonts w:eastAsia="Calibri"/>
                <w:color w:val="000000"/>
                <w:lang w:eastAsia="en-US"/>
              </w:rPr>
            </w:pPr>
            <w:r>
              <w:rPr>
                <w:rFonts w:eastAsia="Calibri"/>
                <w:color w:val="000000"/>
                <w:lang w:eastAsia="en-US"/>
              </w:rPr>
              <w:t>оценивания*</w:t>
            </w:r>
          </w:p>
        </w:tc>
        <w:tc>
          <w:tcPr>
            <w:tcW w:w="3260"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113"/>
              <w:jc w:val="center"/>
              <w:rPr>
                <w:rFonts w:eastAsia="Calibri"/>
                <w:lang w:eastAsia="en-US"/>
              </w:rPr>
            </w:pPr>
            <w:r>
              <w:rPr>
                <w:rFonts w:eastAsia="Calibri"/>
                <w:lang w:eastAsia="en-US"/>
              </w:rPr>
              <w:t xml:space="preserve">Критерии </w:t>
            </w:r>
          </w:p>
          <w:p>
            <w:pPr>
              <w:pStyle w:val="Normal"/>
              <w:ind w:firstLine="113"/>
              <w:jc w:val="center"/>
              <w:rPr>
                <w:rFonts w:eastAsia="Calibri"/>
                <w:lang w:eastAsia="en-US"/>
              </w:rPr>
            </w:pPr>
            <w:r>
              <w:rPr>
                <w:rFonts w:eastAsia="Calibri"/>
                <w:lang w:eastAsia="en-US"/>
              </w:rPr>
              <w:t>Оценки</w:t>
            </w:r>
          </w:p>
        </w:tc>
        <w:tc>
          <w:tcPr>
            <w:tcW w:w="256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113"/>
              <w:jc w:val="center"/>
              <w:rPr>
                <w:rFonts w:eastAsia="Calibri"/>
                <w:lang w:eastAsia="en-US"/>
              </w:rPr>
            </w:pPr>
            <w:r>
              <w:rPr>
                <w:rFonts w:eastAsia="Calibri"/>
                <w:lang w:eastAsia="en-US"/>
              </w:rPr>
              <w:t>Показатели</w:t>
            </w:r>
          </w:p>
          <w:p>
            <w:pPr>
              <w:pStyle w:val="Normal"/>
              <w:ind w:firstLine="113"/>
              <w:jc w:val="center"/>
              <w:rPr>
                <w:rFonts w:eastAsia="Calibri"/>
                <w:lang w:eastAsia="en-US"/>
              </w:rPr>
            </w:pPr>
            <w:r>
              <w:rPr>
                <w:rFonts w:eastAsia="Calibri"/>
                <w:lang w:eastAsia="en-US"/>
              </w:rPr>
              <w:t>оценки</w:t>
            </w:r>
          </w:p>
        </w:tc>
      </w:tr>
      <w:tr>
        <w:trPr>
          <w:trHeight w:val="300" w:hRule="atLeast"/>
        </w:trPr>
        <w:tc>
          <w:tcPr>
            <w:tcW w:w="3624" w:type="dxa"/>
            <w:gridSpan w:val="3"/>
            <w:tcBorders>
              <w:top w:val="single" w:sz="6" w:space="0" w:color="000000"/>
              <w:left w:val="single" w:sz="6" w:space="0" w:color="000000"/>
              <w:bottom w:val="single" w:sz="6" w:space="0" w:color="000000"/>
              <w:right w:val="single" w:sz="6" w:space="0" w:color="000000"/>
            </w:tcBorders>
          </w:tcPr>
          <w:p>
            <w:pPr>
              <w:pStyle w:val="Normal"/>
              <w:ind w:firstLine="113"/>
              <w:rPr>
                <w:rFonts w:eastAsia="Calibri"/>
                <w:lang w:eastAsia="en-US"/>
              </w:rPr>
            </w:pPr>
            <w:r>
              <w:rPr>
                <w:rFonts w:eastAsia="Calibri"/>
                <w:lang w:eastAsia="en-US"/>
              </w:rPr>
              <w:t>Способность работать в команде, толерантно воспринимать социальные, культурные и личностные различия.</w:t>
            </w:r>
          </w:p>
          <w:p>
            <w:pPr>
              <w:pStyle w:val="Normal"/>
              <w:ind w:firstLine="113"/>
              <w:rPr>
                <w:rFonts w:eastAsia="Calibri"/>
                <w:lang w:eastAsia="en-US"/>
              </w:rPr>
            </w:pPr>
            <w:r>
              <w:rPr>
                <w:rFonts w:eastAsia="Calibri"/>
                <w:lang w:eastAsia="en-US"/>
              </w:rPr>
              <w:t>Способность к самоорганизации и самообразованию.</w:t>
            </w:r>
          </w:p>
          <w:p>
            <w:pPr>
              <w:pStyle w:val="Normal"/>
              <w:ind w:firstLine="113"/>
              <w:rPr>
                <w:rFonts w:eastAsia="Calibri"/>
                <w:color w:val="000000"/>
                <w:lang w:eastAsia="en-US"/>
              </w:rPr>
            </w:pPr>
            <w:r>
              <w:rPr>
                <w:rFonts w:eastAsia="Calibri"/>
                <w:color w:val="000000"/>
                <w:lang w:eastAsia="en-US"/>
              </w:rPr>
              <w:t>Владение навыками эффективной коммуникации и сотрудничества.</w:t>
            </w:r>
          </w:p>
        </w:tc>
        <w:tc>
          <w:tcPr>
            <w:tcW w:w="3260"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113"/>
              <w:rPr>
                <w:lang w:eastAsia="en-US"/>
              </w:rPr>
            </w:pPr>
            <w:r>
              <w:rPr>
                <w:rFonts w:eastAsia="Calibri"/>
                <w:lang w:eastAsia="en-US"/>
              </w:rPr>
              <w:t>–</w:t>
            </w:r>
            <w:r>
              <w:rPr>
                <w:rFonts w:eastAsia="Times New Roman"/>
                <w:lang w:eastAsia="en-US"/>
              </w:rPr>
              <w:t xml:space="preserve"> </w:t>
            </w:r>
            <w:r>
              <w:rPr>
                <w:rFonts w:eastAsia="Calibri"/>
                <w:lang w:eastAsia="en-US"/>
              </w:rPr>
              <w:t>согласованность цели и плана выступления;</w:t>
            </w:r>
          </w:p>
          <w:p>
            <w:pPr>
              <w:pStyle w:val="Normal"/>
              <w:ind w:firstLine="113"/>
              <w:rPr>
                <w:lang w:eastAsia="en-US"/>
              </w:rPr>
            </w:pPr>
            <w:r>
              <w:rPr>
                <w:rFonts w:eastAsia="Calibri"/>
                <w:lang w:eastAsia="en-US"/>
              </w:rPr>
              <w:t>–</w:t>
            </w:r>
            <w:r>
              <w:rPr>
                <w:rFonts w:eastAsia="Times New Roman"/>
                <w:lang w:eastAsia="en-US"/>
              </w:rPr>
              <w:t xml:space="preserve"> </w:t>
            </w:r>
            <w:r>
              <w:rPr>
                <w:rFonts w:eastAsia="Calibri"/>
                <w:lang w:eastAsia="en-US"/>
              </w:rPr>
              <w:t>хорошее владение устной речью и терминологией;</w:t>
            </w:r>
          </w:p>
          <w:p>
            <w:pPr>
              <w:pStyle w:val="Normal"/>
              <w:ind w:firstLine="113"/>
              <w:rPr>
                <w:lang w:eastAsia="en-US"/>
              </w:rPr>
            </w:pPr>
            <w:r>
              <w:rPr>
                <w:rFonts w:eastAsia="Calibri"/>
                <w:lang w:eastAsia="en-US"/>
              </w:rPr>
              <w:t>–</w:t>
            </w:r>
            <w:r>
              <w:rPr>
                <w:rFonts w:eastAsia="Times New Roman"/>
                <w:lang w:eastAsia="en-US"/>
              </w:rPr>
              <w:t xml:space="preserve"> </w:t>
            </w:r>
            <w:r>
              <w:rPr>
                <w:rFonts w:eastAsia="Calibri"/>
                <w:lang w:eastAsia="en-US"/>
              </w:rPr>
              <w:t>умение отвечать на вопросы;</w:t>
            </w:r>
          </w:p>
          <w:p>
            <w:pPr>
              <w:pStyle w:val="Normal"/>
              <w:ind w:firstLine="113"/>
              <w:rPr>
                <w:rFonts w:eastAsia="Calibri"/>
                <w:color w:val="000000"/>
                <w:lang w:eastAsia="en-US"/>
              </w:rPr>
            </w:pPr>
            <w:r>
              <w:rPr>
                <w:rFonts w:eastAsia="Calibri"/>
                <w:lang w:eastAsia="en-US"/>
              </w:rPr>
              <w:t>–</w:t>
            </w:r>
            <w:r>
              <w:rPr>
                <w:rFonts w:eastAsia="Times New Roman"/>
                <w:lang w:eastAsia="en-US"/>
              </w:rPr>
              <w:t xml:space="preserve"> </w:t>
            </w:r>
            <w:r>
              <w:rPr>
                <w:rFonts w:eastAsia="Calibri"/>
                <w:lang w:eastAsia="en-US"/>
              </w:rPr>
              <w:t>адекватная самооценка деятельности при выполнении работы.</w:t>
            </w:r>
          </w:p>
        </w:tc>
        <w:tc>
          <w:tcPr>
            <w:tcW w:w="2567" w:type="dxa"/>
            <w:tcBorders>
              <w:top w:val="single" w:sz="6" w:space="0" w:color="000000"/>
              <w:left w:val="single" w:sz="6" w:space="0" w:color="000000"/>
              <w:bottom w:val="single" w:sz="6" w:space="0" w:color="000000"/>
              <w:right w:val="single" w:sz="6" w:space="0" w:color="000000"/>
            </w:tcBorders>
            <w:tcMar>
              <w:top w:w="140" w:type="dxa"/>
              <w:left w:w="80" w:type="dxa"/>
              <w:bottom w:w="140" w:type="dxa"/>
              <w:right w:w="80" w:type="dxa"/>
            </w:tcMar>
          </w:tcPr>
          <w:p>
            <w:pPr>
              <w:pStyle w:val="Normal"/>
              <w:ind w:firstLine="113"/>
              <w:rPr>
                <w:rFonts w:eastAsia="Calibri"/>
                <w:color w:val="000000"/>
                <w:lang w:eastAsia="en-US"/>
              </w:rPr>
            </w:pPr>
            <w:r>
              <w:rPr>
                <w:rFonts w:eastAsia="Calibri"/>
                <w:lang w:eastAsia="en-US"/>
              </w:rPr>
              <w:t>Полностью или частично по всем критериям</w:t>
            </w:r>
          </w:p>
        </w:tc>
      </w:tr>
    </w:tbl>
    <w:p>
      <w:pPr>
        <w:pStyle w:val="Normal"/>
        <w:widowControl w:val="false"/>
        <w:numPr>
          <w:ilvl w:val="0"/>
          <w:numId w:val="16"/>
        </w:numPr>
        <w:spacing w:lineRule="auto" w:line="276" w:before="0" w:after="200"/>
        <w:ind w:left="720" w:firstLine="567"/>
        <w:jc w:val="both"/>
        <w:rPr>
          <w:rFonts w:eastAsia="Calibri"/>
          <w:sz w:val="24"/>
          <w:szCs w:val="24"/>
          <w:lang w:eastAsia="en-US"/>
        </w:rPr>
      </w:pPr>
      <w:r>
        <w:rPr>
          <w:rFonts w:eastAsia="Calibri"/>
          <w:sz w:val="24"/>
          <w:szCs w:val="24"/>
          <w:lang w:eastAsia="en-US"/>
        </w:rPr>
        <w:t>Отметка «отлично» выставляется, если содержание работы и выступление полностью удовлетворяют критериям оценки.</w:t>
      </w:r>
    </w:p>
    <w:p>
      <w:pPr>
        <w:pStyle w:val="Normal"/>
        <w:widowControl w:val="false"/>
        <w:numPr>
          <w:ilvl w:val="0"/>
          <w:numId w:val="16"/>
        </w:numPr>
        <w:spacing w:lineRule="auto" w:line="276" w:before="0" w:after="200"/>
        <w:ind w:left="720" w:firstLine="567"/>
        <w:jc w:val="both"/>
        <w:rPr>
          <w:rFonts w:eastAsia="Calibri"/>
          <w:sz w:val="24"/>
          <w:szCs w:val="24"/>
          <w:lang w:eastAsia="en-US"/>
        </w:rPr>
      </w:pPr>
      <w:r>
        <w:rPr>
          <w:rFonts w:eastAsia="Calibri"/>
          <w:sz w:val="24"/>
          <w:szCs w:val="24"/>
          <w:lang w:eastAsia="en-US"/>
        </w:rPr>
        <w:t xml:space="preserve">Отметка «хорошо» выставляется, если содержание работы удовлетворяет критериям оценки; если слушатель показал хорошее владение устной речью, терминологией и умение отвечать на вопросы. </w:t>
      </w:r>
    </w:p>
    <w:p>
      <w:pPr>
        <w:pStyle w:val="Normal"/>
        <w:widowControl w:val="false"/>
        <w:numPr>
          <w:ilvl w:val="0"/>
          <w:numId w:val="16"/>
        </w:numPr>
        <w:spacing w:lineRule="auto" w:line="276" w:before="0" w:after="200"/>
        <w:ind w:left="720" w:firstLine="567"/>
        <w:jc w:val="both"/>
        <w:rPr>
          <w:rFonts w:eastAsia="Calibri"/>
          <w:sz w:val="24"/>
          <w:szCs w:val="24"/>
          <w:lang w:eastAsia="en-US"/>
        </w:rPr>
      </w:pPr>
      <w:r>
        <w:rPr>
          <w:rFonts w:eastAsia="Calibri"/>
          <w:sz w:val="24"/>
          <w:szCs w:val="24"/>
          <w:lang w:eastAsia="en-US"/>
        </w:rPr>
        <w:t>Отметка «удовлетворительно» выставляется, если содержание работы и выступление частично удовлетворяют критериям оценки.</w:t>
      </w:r>
    </w:p>
    <w:p>
      <w:pPr>
        <w:pStyle w:val="Normal"/>
        <w:widowControl w:val="false"/>
        <w:numPr>
          <w:ilvl w:val="0"/>
          <w:numId w:val="16"/>
        </w:numPr>
        <w:spacing w:lineRule="auto" w:line="276" w:before="0" w:after="200"/>
        <w:ind w:left="720" w:firstLine="567"/>
        <w:jc w:val="both"/>
        <w:rPr>
          <w:rFonts w:eastAsia="Calibri"/>
          <w:sz w:val="24"/>
          <w:szCs w:val="24"/>
          <w:lang w:eastAsia="en-US"/>
        </w:rPr>
      </w:pPr>
      <w:r>
        <w:rPr>
          <w:rFonts w:eastAsia="Calibri"/>
          <w:sz w:val="24"/>
          <w:szCs w:val="24"/>
          <w:lang w:eastAsia="en-US"/>
        </w:rPr>
        <w:t xml:space="preserve">Отметка «неудовлетворительно» выставляется при отсутствии ответа, </w:t>
      </w:r>
      <w:r>
        <w:rPr>
          <w:rFonts w:eastAsia="Calibri"/>
          <w:color w:val="000000"/>
          <w:sz w:val="24"/>
          <w:szCs w:val="24"/>
          <w:lang w:eastAsia="en-US"/>
        </w:rPr>
        <w:t>непонимании сущности предлагаемых вопросов.</w:t>
      </w:r>
    </w:p>
    <w:p>
      <w:pPr>
        <w:pStyle w:val="Normal"/>
        <w:spacing w:before="0" w:after="0"/>
        <w:ind w:firstLine="567"/>
        <w:contextualSpacing/>
        <w:jc w:val="both"/>
        <w:rPr>
          <w:rFonts w:eastAsia="Calibri"/>
          <w:b/>
          <w:b/>
          <w:i/>
          <w:i/>
          <w:color w:val="000000"/>
          <w:sz w:val="24"/>
          <w:szCs w:val="24"/>
          <w:lang w:eastAsia="en-US"/>
        </w:rPr>
      </w:pPr>
      <w:r>
        <w:rPr>
          <w:rFonts w:eastAsia="Calibri"/>
          <w:b/>
          <w:i/>
          <w:color w:val="000000"/>
          <w:sz w:val="24"/>
          <w:szCs w:val="24"/>
          <w:lang w:eastAsia="en-US"/>
        </w:rPr>
      </w:r>
    </w:p>
    <w:p>
      <w:pPr>
        <w:pStyle w:val="Normal"/>
        <w:spacing w:before="0" w:after="0"/>
        <w:ind w:firstLine="567"/>
        <w:contextualSpacing/>
        <w:jc w:val="both"/>
        <w:rPr>
          <w:rFonts w:eastAsia="Calibri"/>
          <w:b/>
          <w:b/>
          <w:i/>
          <w:i/>
          <w:color w:val="000000"/>
          <w:sz w:val="24"/>
          <w:szCs w:val="24"/>
        </w:rPr>
      </w:pPr>
      <w:r>
        <w:rPr>
          <w:rFonts w:eastAsia="Calibri"/>
          <w:b/>
          <w:i/>
          <w:color w:val="000000"/>
          <w:sz w:val="24"/>
          <w:szCs w:val="24"/>
        </w:rPr>
        <w:t xml:space="preserve">Вариативность в содержании и организации обучения </w:t>
      </w:r>
    </w:p>
    <w:p>
      <w:pPr>
        <w:pStyle w:val="Normal"/>
        <w:spacing w:before="0" w:after="0"/>
        <w:ind w:firstLine="567"/>
        <w:contextualSpacing/>
        <w:jc w:val="both"/>
        <w:rPr/>
      </w:pPr>
      <w:r>
        <w:rPr>
          <w:rFonts w:eastAsia="Calibri"/>
          <w:color w:val="000000"/>
          <w:sz w:val="24"/>
          <w:szCs w:val="24"/>
        </w:rPr>
        <w:t xml:space="preserve">Слушатель имеет право выбирать вариативность содержания, форм и методов </w:t>
      </w:r>
      <w:r>
        <w:rPr>
          <w:sz w:val="24"/>
          <w:szCs w:val="24"/>
        </w:rPr>
        <w:t>п</w:t>
      </w:r>
      <w:r>
        <w:rPr>
          <w:rFonts w:eastAsia="Calibri"/>
          <w:sz w:val="24"/>
          <w:szCs w:val="24"/>
        </w:rPr>
        <w:t>роектирования педагогических условий для преодоления синдрома дефицита внимания и гиперактивности у обучающихся в образовательном процессе</w:t>
      </w:r>
      <w:r>
        <w:rPr>
          <w:rFonts w:eastAsia="Calibri"/>
          <w:color w:val="000000"/>
          <w:sz w:val="24"/>
          <w:szCs w:val="24"/>
        </w:rPr>
        <w:t xml:space="preserve"> </w:t>
      </w:r>
    </w:p>
    <w:p>
      <w:pPr>
        <w:pStyle w:val="Normal"/>
        <w:spacing w:before="0" w:after="0"/>
        <w:ind w:firstLine="567"/>
        <w:contextualSpacing/>
        <w:jc w:val="both"/>
        <w:rPr>
          <w:rFonts w:eastAsia="Calibri"/>
          <w:i/>
          <w:i/>
          <w:color w:val="000000"/>
          <w:sz w:val="24"/>
          <w:szCs w:val="24"/>
        </w:rPr>
      </w:pPr>
      <w:r>
        <w:rPr>
          <w:rFonts w:eastAsia="Calibri"/>
          <w:i/>
          <w:color w:val="000000"/>
          <w:sz w:val="24"/>
          <w:szCs w:val="24"/>
        </w:rPr>
      </w:r>
    </w:p>
    <w:p>
      <w:pPr>
        <w:pStyle w:val="Normal"/>
        <w:spacing w:before="0" w:after="0"/>
        <w:ind w:firstLine="567"/>
        <w:contextualSpacing/>
        <w:jc w:val="both"/>
        <w:rPr/>
      </w:pPr>
      <w:r>
        <w:rPr>
          <w:rFonts w:eastAsia="Calibri"/>
          <w:b/>
          <w:i/>
          <w:color w:val="000000"/>
          <w:sz w:val="24"/>
          <w:szCs w:val="24"/>
        </w:rPr>
        <w:t>Организационно-педагогические условия реализации ДПП</w:t>
      </w:r>
      <w:r>
        <w:rPr>
          <w:rFonts w:eastAsia="Calibri"/>
          <w:i/>
          <w:color w:val="000000"/>
          <w:sz w:val="24"/>
          <w:szCs w:val="24"/>
        </w:rPr>
        <w:t>:</w:t>
      </w:r>
    </w:p>
    <w:p>
      <w:pPr>
        <w:pStyle w:val="Normal"/>
        <w:shd w:fill="FFFFFF" w:val="clear"/>
        <w:ind w:firstLine="567"/>
        <w:jc w:val="both"/>
        <w:rPr>
          <w:rFonts w:eastAsia="Calibri"/>
          <w:i/>
          <w:i/>
          <w:color w:val="000000"/>
          <w:sz w:val="24"/>
          <w:szCs w:val="24"/>
          <w:lang w:eastAsia="en-US"/>
        </w:rPr>
      </w:pPr>
      <w:r>
        <w:rPr>
          <w:rFonts w:eastAsia="Calibri"/>
          <w:i/>
          <w:color w:val="000000"/>
          <w:sz w:val="24"/>
          <w:szCs w:val="24"/>
          <w:lang w:eastAsia="en-US"/>
        </w:rPr>
      </w:r>
    </w:p>
    <w:p>
      <w:pPr>
        <w:pStyle w:val="Normal"/>
        <w:numPr>
          <w:ilvl w:val="0"/>
          <w:numId w:val="29"/>
        </w:numPr>
        <w:shd w:fill="FFFFFF" w:val="clear"/>
        <w:tabs>
          <w:tab w:val="clear" w:pos="708"/>
          <w:tab w:val="left" w:pos="851" w:leader="none"/>
        </w:tabs>
        <w:spacing w:lineRule="auto" w:line="276" w:before="0" w:after="200"/>
        <w:ind w:left="750" w:firstLine="567"/>
        <w:contextualSpacing/>
        <w:jc w:val="both"/>
        <w:rPr>
          <w:rFonts w:eastAsia="Calibri"/>
          <w:color w:val="000000"/>
          <w:sz w:val="24"/>
          <w:szCs w:val="24"/>
        </w:rPr>
      </w:pPr>
      <w:r>
        <w:rPr>
          <w:rFonts w:eastAsia="Calibri"/>
          <w:color w:val="000000"/>
          <w:sz w:val="24"/>
          <w:szCs w:val="24"/>
        </w:rPr>
        <w:t>Требования к квалификации педагогических кадров, обеспечивающих реализацию образовательного процесса.</w:t>
      </w:r>
    </w:p>
    <w:p>
      <w:pPr>
        <w:pStyle w:val="Normal"/>
        <w:shd w:fill="FFFFFF" w:val="clear"/>
        <w:spacing w:before="0" w:after="0"/>
        <w:ind w:firstLine="567"/>
        <w:contextualSpacing/>
        <w:jc w:val="both"/>
        <w:rPr>
          <w:rFonts w:eastAsia="Calibri"/>
          <w:color w:val="000000"/>
          <w:sz w:val="24"/>
          <w:szCs w:val="24"/>
        </w:rPr>
      </w:pPr>
      <w:r>
        <w:rPr>
          <w:rFonts w:eastAsia="Calibri"/>
          <w:sz w:val="24"/>
          <w:szCs w:val="24"/>
        </w:rPr>
        <w:t>К реализации программы привлекается профессорско-преподавательский состав кафедры педагогики семьи и смежных кафедр СПб АППО.</w:t>
      </w:r>
    </w:p>
    <w:p>
      <w:pPr>
        <w:pStyle w:val="Normal"/>
        <w:shd w:fill="FFFFFF" w:val="clear"/>
        <w:ind w:firstLine="567"/>
        <w:jc w:val="both"/>
        <w:rPr>
          <w:rFonts w:eastAsia="Calibri"/>
          <w:color w:val="000000"/>
          <w:sz w:val="24"/>
          <w:szCs w:val="24"/>
          <w:lang w:eastAsia="en-US"/>
        </w:rPr>
      </w:pPr>
      <w:r>
        <w:rPr>
          <w:rFonts w:eastAsia="Calibri"/>
          <w:color w:val="000000"/>
          <w:sz w:val="24"/>
          <w:szCs w:val="24"/>
          <w:lang w:eastAsia="en-US"/>
        </w:rPr>
        <w:t>2. Требования к материально-техническим условиям.</w:t>
      </w:r>
    </w:p>
    <w:p>
      <w:pPr>
        <w:pStyle w:val="Normal"/>
        <w:shd w:fill="FFFFFF" w:val="clear"/>
        <w:tabs>
          <w:tab w:val="clear" w:pos="708"/>
          <w:tab w:val="left" w:pos="993" w:leader="none"/>
        </w:tabs>
        <w:ind w:firstLine="567"/>
        <w:jc w:val="both"/>
        <w:rPr>
          <w:rFonts w:eastAsia="Calibri"/>
          <w:bCs/>
          <w:iCs/>
          <w:sz w:val="24"/>
          <w:szCs w:val="24"/>
          <w:lang w:eastAsia="en-US"/>
        </w:rPr>
      </w:pPr>
      <w:r>
        <w:rPr>
          <w:rFonts w:eastAsia="Calibri"/>
          <w:bCs/>
          <w:iCs/>
          <w:sz w:val="24"/>
          <w:szCs w:val="24"/>
          <w:lang w:eastAsia="en-US"/>
        </w:rPr>
        <w:t>Аудитория, вмещающая 25 слушателей, в которой созданы условия для организации групповой работы (столы, стулья расставляются в соответствии с особенностями учебного занятия), оснащенная доской, компьютером, мультимедийным проектором, проекционным экраном, выходом в Интернет.</w:t>
      </w:r>
    </w:p>
    <w:p>
      <w:pPr>
        <w:pStyle w:val="Normal"/>
        <w:shd w:fill="FFFFFF" w:val="clear"/>
        <w:ind w:firstLine="567"/>
        <w:jc w:val="both"/>
        <w:rPr>
          <w:rFonts w:eastAsia="Calibri"/>
          <w:color w:val="000000"/>
          <w:sz w:val="24"/>
          <w:szCs w:val="24"/>
          <w:lang w:eastAsia="en-US"/>
        </w:rPr>
      </w:pPr>
      <w:r>
        <w:rPr>
          <w:rFonts w:eastAsia="Calibri"/>
          <w:color w:val="000000"/>
          <w:sz w:val="24"/>
          <w:szCs w:val="24"/>
          <w:lang w:eastAsia="en-US"/>
        </w:rPr>
        <w:t>3. Требования к информационному и учебно-методическому обеспечению образовательных программ.</w:t>
      </w:r>
    </w:p>
    <w:p>
      <w:pPr>
        <w:pStyle w:val="Normal"/>
        <w:shd w:fill="FFFFFF" w:val="clear"/>
        <w:tabs>
          <w:tab w:val="clear" w:pos="708"/>
          <w:tab w:val="left" w:pos="993" w:leader="none"/>
        </w:tabs>
        <w:ind w:firstLine="567"/>
        <w:jc w:val="both"/>
        <w:rPr>
          <w:rFonts w:eastAsia="Calibri"/>
          <w:sz w:val="24"/>
          <w:szCs w:val="24"/>
          <w:lang w:eastAsia="en-US"/>
        </w:rPr>
      </w:pPr>
      <w:r>
        <w:rPr>
          <w:rFonts w:eastAsia="Calibri"/>
          <w:sz w:val="24"/>
          <w:szCs w:val="24"/>
          <w:lang w:eastAsia="en-US"/>
        </w:rPr>
        <w:t>ДПППК обеспечивается доступом слушателей к библиотечному фонду СПб АППО, наличием учебно-методического и программно-информационного комплекса, включающего в себя педагогическую и учебно-методическую литературу, раздаточный и демонстрационный материал (в т.ч. на электронных носителях).</w:t>
      </w:r>
    </w:p>
    <w:p>
      <w:pPr>
        <w:pStyle w:val="Normal"/>
        <w:shd w:fill="FFFFFF" w:val="clear"/>
        <w:tabs>
          <w:tab w:val="clear" w:pos="708"/>
          <w:tab w:val="left" w:pos="993" w:leader="none"/>
        </w:tabs>
        <w:spacing w:lineRule="auto" w:line="276" w:before="0" w:after="200"/>
        <w:ind w:firstLine="567"/>
        <w:jc w:val="both"/>
        <w:rPr>
          <w:rFonts w:eastAsia="Calibri"/>
          <w:sz w:val="24"/>
          <w:szCs w:val="24"/>
          <w:lang w:eastAsia="en-US"/>
        </w:rPr>
      </w:pPr>
      <w:r>
        <w:rPr>
          <w:rFonts w:eastAsia="Calibri"/>
          <w:sz w:val="24"/>
          <w:szCs w:val="24"/>
          <w:lang w:eastAsia="en-US"/>
        </w:rPr>
      </w:r>
    </w:p>
    <w:p>
      <w:pPr>
        <w:pStyle w:val="Normal"/>
        <w:tabs>
          <w:tab w:val="clear" w:pos="708"/>
          <w:tab w:val="left" w:pos="993" w:leader="none"/>
        </w:tabs>
        <w:spacing w:before="0" w:after="200"/>
        <w:ind w:firstLine="567"/>
        <w:jc w:val="center"/>
        <w:rPr>
          <w:rFonts w:eastAsia="Calibri"/>
          <w:b/>
          <w:b/>
          <w:sz w:val="24"/>
          <w:szCs w:val="24"/>
          <w:lang w:eastAsia="en-US"/>
        </w:rPr>
      </w:pPr>
      <w:r>
        <w:rPr>
          <w:rFonts w:eastAsia="Calibri"/>
          <w:b/>
          <w:sz w:val="24"/>
          <w:szCs w:val="24"/>
          <w:lang w:eastAsia="en-US"/>
        </w:rPr>
        <w:t>Рекомендуемая литература для самостоятельного чтения</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Аллан Д. Ландшафт детской души. Психоаналитическое консультирование в школах и клиниках. Перевод с англ. Ю.М. Донца. / Под общей редакцией В.В. Зеленского. – СПб – Мн.: ЗАО «Диалог», – ИП «Лошадь», 1997. – 256 с.</w:t>
      </w:r>
    </w:p>
    <w:p>
      <w:pPr>
        <w:pStyle w:val="Normal"/>
        <w:numPr>
          <w:ilvl w:val="0"/>
          <w:numId w:val="21"/>
        </w:numPr>
        <w:tabs>
          <w:tab w:val="clear" w:pos="708"/>
          <w:tab w:val="left" w:pos="993" w:leader="none"/>
        </w:tabs>
        <w:ind w:left="0" w:hanging="0"/>
        <w:jc w:val="both"/>
        <w:rPr/>
      </w:pPr>
      <w:r>
        <w:rPr>
          <w:rFonts w:eastAsia="Calibri"/>
          <w:bCs/>
          <w:sz w:val="24"/>
          <w:szCs w:val="24"/>
          <w:lang w:eastAsia="en-US"/>
        </w:rPr>
        <w:t xml:space="preserve">Альтхерр </w:t>
      </w:r>
      <w:r>
        <w:rPr>
          <w:rFonts w:eastAsia="Calibri"/>
          <w:sz w:val="24"/>
          <w:szCs w:val="24"/>
          <w:lang w:eastAsia="en-US"/>
        </w:rPr>
        <w:t xml:space="preserve">П., </w:t>
      </w:r>
      <w:r>
        <w:rPr>
          <w:rFonts w:eastAsia="Calibri"/>
          <w:bCs/>
          <w:sz w:val="24"/>
          <w:szCs w:val="24"/>
          <w:lang w:eastAsia="en-US"/>
        </w:rPr>
        <w:t>Берг Л</w:t>
      </w:r>
      <w:r>
        <w:rPr>
          <w:rFonts w:eastAsia="Calibri"/>
          <w:sz w:val="24"/>
          <w:szCs w:val="24"/>
          <w:lang w:eastAsia="en-US"/>
        </w:rPr>
        <w:t xml:space="preserve">., </w:t>
      </w:r>
      <w:r>
        <w:rPr>
          <w:rFonts w:eastAsia="Calibri"/>
          <w:bCs/>
          <w:sz w:val="24"/>
          <w:szCs w:val="24"/>
          <w:lang w:eastAsia="en-US"/>
        </w:rPr>
        <w:t>Вёльфль А</w:t>
      </w:r>
      <w:r>
        <w:rPr>
          <w:rFonts w:eastAsia="Calibri"/>
          <w:sz w:val="24"/>
          <w:szCs w:val="24"/>
          <w:lang w:eastAsia="en-US"/>
        </w:rPr>
        <w:t xml:space="preserve">. и </w:t>
      </w:r>
      <w:r>
        <w:rPr>
          <w:rFonts w:eastAsia="Calibri"/>
          <w:bCs/>
          <w:sz w:val="24"/>
          <w:szCs w:val="24"/>
          <w:lang w:eastAsia="en-US"/>
        </w:rPr>
        <w:t>др</w:t>
      </w:r>
      <w:r>
        <w:rPr>
          <w:rFonts w:eastAsia="Calibri"/>
          <w:sz w:val="24"/>
          <w:szCs w:val="24"/>
          <w:lang w:eastAsia="en-US"/>
        </w:rPr>
        <w:t xml:space="preserve">. </w:t>
      </w:r>
      <w:r>
        <w:rPr>
          <w:rFonts w:eastAsia="Calibri"/>
          <w:bCs/>
          <w:sz w:val="24"/>
          <w:szCs w:val="24"/>
          <w:lang w:eastAsia="en-US"/>
        </w:rPr>
        <w:t>Гиперактивные дети</w:t>
      </w:r>
      <w:r>
        <w:rPr>
          <w:rFonts w:eastAsia="Calibri"/>
          <w:sz w:val="24"/>
          <w:szCs w:val="24"/>
          <w:lang w:eastAsia="en-US"/>
        </w:rPr>
        <w:t xml:space="preserve">: </w:t>
      </w:r>
      <w:r>
        <w:rPr>
          <w:rFonts w:eastAsia="Calibri"/>
          <w:bCs/>
          <w:sz w:val="24"/>
          <w:szCs w:val="24"/>
          <w:lang w:eastAsia="en-US"/>
        </w:rPr>
        <w:t>коррекция психомоторного развития</w:t>
      </w:r>
      <w:r>
        <w:rPr>
          <w:rFonts w:eastAsia="Calibri"/>
          <w:sz w:val="24"/>
          <w:szCs w:val="24"/>
          <w:lang w:eastAsia="en-US"/>
        </w:rPr>
        <w:t xml:space="preserve">: Учеб. пособие для студ. высш. учеб. заведений / Под ред. </w:t>
      </w:r>
      <w:r>
        <w:rPr>
          <w:rFonts w:eastAsia="Calibri"/>
          <w:bCs/>
          <w:sz w:val="24"/>
          <w:szCs w:val="24"/>
          <w:lang w:eastAsia="en-US"/>
        </w:rPr>
        <w:t>М</w:t>
      </w:r>
      <w:r>
        <w:rPr>
          <w:rFonts w:eastAsia="Calibri"/>
          <w:sz w:val="24"/>
          <w:szCs w:val="24"/>
          <w:lang w:eastAsia="en-US"/>
        </w:rPr>
        <w:t xml:space="preserve">. Пассольта; Пер. с нем. – </w:t>
      </w:r>
      <w:r>
        <w:rPr>
          <w:rFonts w:eastAsia="Calibri"/>
          <w:bCs/>
          <w:sz w:val="24"/>
          <w:szCs w:val="24"/>
          <w:lang w:eastAsia="en-US"/>
        </w:rPr>
        <w:t>М</w:t>
      </w:r>
      <w:r>
        <w:rPr>
          <w:rFonts w:eastAsia="Calibri"/>
          <w:sz w:val="24"/>
          <w:szCs w:val="24"/>
          <w:lang w:eastAsia="en-US"/>
        </w:rPr>
        <w:t xml:space="preserve">.: Академия, </w:t>
      </w:r>
      <w:r>
        <w:rPr>
          <w:rFonts w:eastAsia="Calibri"/>
          <w:bCs/>
          <w:sz w:val="24"/>
          <w:szCs w:val="24"/>
          <w:lang w:eastAsia="en-US"/>
        </w:rPr>
        <w:t>2004</w:t>
      </w:r>
      <w:r>
        <w:rPr>
          <w:rFonts w:eastAsia="Calibri"/>
          <w:sz w:val="24"/>
          <w:szCs w:val="24"/>
          <w:lang w:eastAsia="en-US"/>
        </w:rPr>
        <w:t xml:space="preserve">. – </w:t>
      </w:r>
      <w:r>
        <w:rPr>
          <w:rFonts w:eastAsia="Calibri"/>
          <w:bCs/>
          <w:sz w:val="24"/>
          <w:szCs w:val="24"/>
          <w:lang w:eastAsia="en-US"/>
        </w:rPr>
        <w:t>160</w:t>
      </w:r>
      <w:r>
        <w:rPr>
          <w:rFonts w:eastAsia="Calibri"/>
          <w:sz w:val="24"/>
          <w:szCs w:val="24"/>
          <w:lang w:eastAsia="en-US"/>
        </w:rPr>
        <w:t xml:space="preserve"> с.</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Антропов Ю.Ф., Шевченко Ю.С. Лечение детей с психосоматическими расстройствами. – СПб.: Речь, 2002. – 560 с.</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 xml:space="preserve">Бадалян Л.О., Заваденко Н.Н., Успенская Т.Ю. Синдромы дефицита внимания у детей: обзор // Обозрение психиатрии и медицинской психологии им. В.М.Бехтерева – 1993. – № 3. – С. 74-90 </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Байярд Роберт Т., Байярд Джин. Ваш беспокойный подросток. Практическое руководство для отчаявшихся родителей / Пер. с анг. – М.: Просвещение, 1991. – 224 с.</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Берн Э. Игры, в которые играют люди. Люди, которые играют в игры. – М.: Эксмо, 2010. – 576 с.</w:t>
      </w:r>
    </w:p>
    <w:p>
      <w:pPr>
        <w:pStyle w:val="Normal"/>
        <w:numPr>
          <w:ilvl w:val="0"/>
          <w:numId w:val="21"/>
        </w:numPr>
        <w:tabs>
          <w:tab w:val="clear" w:pos="708"/>
          <w:tab w:val="left" w:pos="0" w:leader="none"/>
          <w:tab w:val="left" w:pos="993" w:leader="none"/>
        </w:tabs>
        <w:ind w:left="0" w:hanging="0"/>
        <w:jc w:val="both"/>
        <w:rPr>
          <w:rFonts w:eastAsia="Calibri"/>
          <w:sz w:val="24"/>
          <w:szCs w:val="24"/>
          <w:lang w:eastAsia="en-US"/>
        </w:rPr>
      </w:pPr>
      <w:r>
        <w:rPr>
          <w:rFonts w:eastAsia="Calibri"/>
          <w:sz w:val="24"/>
          <w:szCs w:val="24"/>
          <w:lang w:eastAsia="en-US"/>
        </w:rPr>
        <w:t>Божович Л.И. Проблемы формирования личности (избранные произведения). – Воронеж.: «Модэк», 1995. – 357 с.</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Болотовский Г.В., Чутко Л.С., Кропотов Ю.Д. Гиперактивный ребенок. – СПб.: ИК «Невский проспект», 2004. – 192 с.</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Брязгунов И.П., Касатикова Е.В. Непоседливый ребенок, или все о гиперактивных детях. – М.: Изд-во Института Психотерапии, 2002. – 96 с.</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Бурменская Г.А., Карабанова О.А., Лидерс А.Г. Возрастно-психологическое консультирование: Проблемы психологического развития детей. – М.: Изд-во МГУ, 1990. – 158 с.</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Виноградова А.Д., Коновалова Н.Л., Михаленкова И.А., Посохова С.Т., Хилько А.А., Шипицина Л.М. Психологическая диагностика отклонения развития детей младшего школьного возраста. – СПб.: Речь, 2004. – 48 с.</w:t>
      </w:r>
    </w:p>
    <w:p>
      <w:pPr>
        <w:pStyle w:val="Normal"/>
        <w:numPr>
          <w:ilvl w:val="0"/>
          <w:numId w:val="21"/>
        </w:numPr>
        <w:tabs>
          <w:tab w:val="clear" w:pos="708"/>
          <w:tab w:val="left" w:pos="993" w:leader="none"/>
        </w:tabs>
        <w:ind w:left="0" w:hanging="0"/>
        <w:jc w:val="both"/>
        <w:rPr/>
      </w:pPr>
      <w:r>
        <w:rPr>
          <w:rFonts w:eastAsia="Calibri"/>
          <w:bCs/>
          <w:sz w:val="24"/>
          <w:szCs w:val="24"/>
          <w:lang w:eastAsia="en-US"/>
        </w:rPr>
        <w:t>Выготский Л.С</w:t>
      </w:r>
      <w:r>
        <w:rPr>
          <w:rFonts w:eastAsia="Calibri"/>
          <w:sz w:val="24"/>
          <w:szCs w:val="24"/>
          <w:lang w:eastAsia="en-US"/>
        </w:rPr>
        <w:t>. Воображение и творчество в детском возрасте: – СПб.: СОЮЗ, 1997. – 96 с.</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 xml:space="preserve">Габдракипова В.И., Эйдемиллер Э.Г. Психологическая коррекция детей с синдромом дефицита внимания и гиперактивностью (с учетом половых различий). Программа, методические рекомендации. – М.: УЦ «Перспектива», 2009. – 44 с. </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 xml:space="preserve">Джинотт Х. Дж. Групповая психотерапия с детьми. Теория и практика игровой терапии / Пер. с англ. И. Романовой. – М.: Апрель Пресс, Изд-во ЭКСМО-Пресс, 2001. – 272 с. </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Заваденко Н.Н., Лебедева Т.В., Счасная О.В., Заваденко А.Н. и др. Синдром дефицита внимания с гиперактивностью: роль анкетирования родителей и педагогов при оценке социально-психологической адаптации пациентов. // Журнал неврологии и психиатрии. – 2009. – № 11. – С. 5-57.</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Ильин Е.П. Мотивация и мотивы. – СПБ.: Питер, 2003. – 512 с.</w:t>
      </w:r>
    </w:p>
    <w:p>
      <w:pPr>
        <w:pStyle w:val="Normal"/>
        <w:numPr>
          <w:ilvl w:val="0"/>
          <w:numId w:val="21"/>
        </w:numPr>
        <w:tabs>
          <w:tab w:val="clear" w:pos="708"/>
          <w:tab w:val="left" w:pos="993" w:leader="none"/>
        </w:tabs>
        <w:ind w:left="0" w:hanging="0"/>
        <w:jc w:val="both"/>
        <w:rPr/>
      </w:pPr>
      <w:r>
        <w:rPr>
          <w:sz w:val="24"/>
          <w:szCs w:val="24"/>
          <w:shd w:fill="FFFFFF" w:val="clear"/>
        </w:rPr>
        <w:t xml:space="preserve">Лохов М.И., </w:t>
      </w:r>
      <w:r>
        <w:rPr>
          <w:bCs/>
          <w:sz w:val="24"/>
          <w:szCs w:val="24"/>
          <w:shd w:fill="FFFFFF" w:val="clear"/>
        </w:rPr>
        <w:t>Фесенко</w:t>
      </w:r>
      <w:r>
        <w:rPr>
          <w:sz w:val="24"/>
          <w:szCs w:val="24"/>
          <w:shd w:fill="FFFFFF" w:val="clear"/>
        </w:rPr>
        <w:t>. Ю.А., Рубин</w:t>
      </w:r>
      <w:r>
        <w:rPr>
          <w:sz w:val="24"/>
          <w:szCs w:val="24"/>
        </w:rPr>
        <w:t xml:space="preserve"> </w:t>
      </w:r>
      <w:r>
        <w:rPr>
          <w:sz w:val="24"/>
          <w:szCs w:val="24"/>
          <w:shd w:fill="FFFFFF" w:val="clear"/>
        </w:rPr>
        <w:t xml:space="preserve">М.Ю. </w:t>
      </w:r>
      <w:r>
        <w:rPr>
          <w:sz w:val="24"/>
          <w:szCs w:val="24"/>
        </w:rPr>
        <w:t>Плохой хороший ребенок. (Проблемы развития, нарушения поведения, внимания, письма и речи). 2-е издание. – СПб: Изд-во ЭЛБИ-СПб, 2008. – 320 с.</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 xml:space="preserve">Международная классификация болезней (МКБ-10). – СПб.: Издание ВОЗ, 1994. – 697 с. </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Никольская И.М. Биопсихосоциальная модель болезни и здоровья как теоретико-методологическая основа клинической психологии и психотерапии семьи и детства. // Семья: межинституциональное взаимодействие в социокультурном пространстве Санкт-Петербурга: Материалы межрегиональной научно-практической конференции. / Под общ. ред. Е.Н. Барышникова, О.В. Эрлиха. – СПб.: Изд-во Политехн. ун-та, 2011 – 248 с. – С. 161-167</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Никольская И.М., Бардиер Г.Л. Уроки психологии в начальной школе. – СПб.: Речь, 2004. – 192 с.</w:t>
      </w:r>
    </w:p>
    <w:p>
      <w:pPr>
        <w:pStyle w:val="Normal"/>
        <w:numPr>
          <w:ilvl w:val="0"/>
          <w:numId w:val="21"/>
        </w:numPr>
        <w:tabs>
          <w:tab w:val="clear" w:pos="708"/>
          <w:tab w:val="left" w:pos="0" w:leader="none"/>
          <w:tab w:val="left" w:pos="993" w:leader="none"/>
        </w:tabs>
        <w:ind w:left="0" w:hanging="0"/>
        <w:jc w:val="both"/>
        <w:rPr>
          <w:rFonts w:eastAsia="Calibri"/>
          <w:sz w:val="24"/>
          <w:szCs w:val="24"/>
          <w:lang w:eastAsia="en-US"/>
        </w:rPr>
      </w:pPr>
      <w:r>
        <w:rPr>
          <w:rFonts w:eastAsia="Calibri"/>
          <w:sz w:val="24"/>
          <w:szCs w:val="24"/>
          <w:lang w:eastAsia="en-US"/>
        </w:rPr>
        <w:t>Никольская И.М., Грановская Р.М. Психологическая защита у детей. – СПб.: Речь, 2006. – 342 с.</w:t>
      </w:r>
    </w:p>
    <w:p>
      <w:pPr>
        <w:pStyle w:val="Normal"/>
        <w:numPr>
          <w:ilvl w:val="0"/>
          <w:numId w:val="21"/>
        </w:numPr>
        <w:tabs>
          <w:tab w:val="clear" w:pos="708"/>
          <w:tab w:val="left" w:pos="993" w:leader="none"/>
        </w:tabs>
        <w:ind w:left="0" w:hanging="0"/>
        <w:jc w:val="both"/>
        <w:rPr/>
      </w:pPr>
      <w:r>
        <w:rPr>
          <w:rFonts w:eastAsia="Calibri"/>
          <w:sz w:val="24"/>
          <w:szCs w:val="24"/>
          <w:shd w:fill="FFFFFF" w:val="clear"/>
          <w:lang w:eastAsia="en-US"/>
        </w:rPr>
        <w:t xml:space="preserve">Никольская И.М., Пушина В.В. </w:t>
      </w:r>
      <w:r>
        <w:rPr>
          <w:rFonts w:eastAsia="Calibri"/>
          <w:sz w:val="24"/>
          <w:szCs w:val="24"/>
          <w:lang w:eastAsia="en-US"/>
        </w:rPr>
        <w:t>Семейная социограмма в психологическом консультировании. Учебное пособие для врачей и психологов. – СПб.: Речь, 2010. – 223 с.</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Политика О.Б. Мультимодальный подход в коррекции синдрома дефицита внимания с гиперактивностью у детей дошкольного возраста. – СПб.: Речь, 2006. – 208 с.</w:t>
      </w:r>
    </w:p>
    <w:p>
      <w:pPr>
        <w:pStyle w:val="Normal"/>
        <w:numPr>
          <w:ilvl w:val="0"/>
          <w:numId w:val="21"/>
        </w:numPr>
        <w:tabs>
          <w:tab w:val="clear" w:pos="708"/>
          <w:tab w:val="left" w:pos="993" w:leader="none"/>
        </w:tabs>
        <w:ind w:left="0" w:hanging="0"/>
        <w:jc w:val="both"/>
        <w:rPr>
          <w:sz w:val="24"/>
          <w:szCs w:val="24"/>
        </w:rPr>
      </w:pPr>
      <w:r>
        <w:rPr>
          <w:sz w:val="24"/>
          <w:szCs w:val="24"/>
        </w:rPr>
        <w:t>Фесенко Е.В, Фесенко Ю.А. Синдром дефицита внимания и гиперактивности у детей. – СПб.: Наука и Техника, 2010. – 384 с.</w:t>
      </w:r>
    </w:p>
    <w:p>
      <w:pPr>
        <w:pStyle w:val="Normal"/>
        <w:numPr>
          <w:ilvl w:val="0"/>
          <w:numId w:val="21"/>
        </w:numPr>
        <w:tabs>
          <w:tab w:val="clear" w:pos="708"/>
          <w:tab w:val="left" w:pos="993" w:leader="none"/>
        </w:tabs>
        <w:spacing w:before="0" w:after="0"/>
        <w:ind w:left="0" w:hanging="0"/>
        <w:contextualSpacing/>
        <w:jc w:val="both"/>
        <w:rPr>
          <w:rFonts w:eastAsia="Calibri"/>
          <w:sz w:val="24"/>
          <w:szCs w:val="24"/>
        </w:rPr>
      </w:pPr>
      <w:r>
        <w:rPr>
          <w:rFonts w:eastAsia="Calibri"/>
          <w:sz w:val="24"/>
          <w:szCs w:val="24"/>
        </w:rPr>
        <w:t xml:space="preserve">Цыганкова Н.И. Групповая психологическая коррекция детей младшего школьного возраста с дефицитом внимания и синдромом гиперактивности // Материалы конференции «Мнухинские чтения. Успехи детско-подростковой психиатрии и психотерапии (исторический и междисциплинарный подход)» / Под ред. Л.П. Рубиной, Ю.А. Фесенко. – СПб.: ООО «Респект», 2007. – 264 с. – С. 247-250. </w:t>
      </w:r>
    </w:p>
    <w:p>
      <w:pPr>
        <w:pStyle w:val="Normal"/>
        <w:numPr>
          <w:ilvl w:val="0"/>
          <w:numId w:val="21"/>
        </w:numPr>
        <w:tabs>
          <w:tab w:val="clear" w:pos="708"/>
          <w:tab w:val="left" w:pos="993" w:leader="none"/>
        </w:tabs>
        <w:spacing w:before="0" w:after="0"/>
        <w:ind w:left="0" w:hanging="0"/>
        <w:contextualSpacing/>
        <w:jc w:val="both"/>
        <w:rPr>
          <w:rFonts w:eastAsia="Calibri"/>
          <w:sz w:val="24"/>
          <w:szCs w:val="24"/>
        </w:rPr>
      </w:pPr>
      <w:r>
        <w:rPr>
          <w:rFonts w:eastAsia="Calibri"/>
          <w:sz w:val="24"/>
          <w:szCs w:val="24"/>
        </w:rPr>
        <w:t xml:space="preserve">Цыганкова Н.И. Межличностные отношения детей младшего школьного возраста с минимальной мозговой дисфункцией в аспекте сохранения психического и социального здоровья // Материалы региональной научно-практической конференции «Служба практической психологии в системе образования» / Под ред. С.М. Шингаева, В.Н. Алешина, А.М. Богачева. Выпуск 12. − СПб.: СПб АППО, 2008. − 255 с. – С. 184-188. </w:t>
      </w:r>
    </w:p>
    <w:p>
      <w:pPr>
        <w:pStyle w:val="Normal"/>
        <w:numPr>
          <w:ilvl w:val="0"/>
          <w:numId w:val="21"/>
        </w:numPr>
        <w:tabs>
          <w:tab w:val="clear" w:pos="708"/>
          <w:tab w:val="left" w:pos="993" w:leader="none"/>
        </w:tabs>
        <w:spacing w:before="0" w:after="0"/>
        <w:ind w:left="0" w:hanging="0"/>
        <w:contextualSpacing/>
        <w:jc w:val="both"/>
        <w:rPr>
          <w:rFonts w:eastAsia="Calibri"/>
          <w:sz w:val="24"/>
          <w:szCs w:val="24"/>
        </w:rPr>
      </w:pPr>
      <w:r>
        <w:rPr>
          <w:rFonts w:eastAsia="Calibri"/>
          <w:sz w:val="24"/>
          <w:szCs w:val="24"/>
        </w:rPr>
        <w:t xml:space="preserve">Цыганкова Н.И. Комплексный подход в решении задач интеграции детей с минимальной мозговой дисфункцией в общеобразовательные школы //  Материалы Международной научно-практической конференции  «Психологическое здоровье подрастающего поколения: проблемы и пути решения» / Сост. И.А. Еремицкая. – Астрахань: Издательский дом «Астраханский университет», 2009. – 296 с. – С. 244-246. </w:t>
      </w:r>
    </w:p>
    <w:p>
      <w:pPr>
        <w:pStyle w:val="Normal"/>
        <w:numPr>
          <w:ilvl w:val="0"/>
          <w:numId w:val="21"/>
        </w:numPr>
        <w:tabs>
          <w:tab w:val="clear" w:pos="708"/>
          <w:tab w:val="left" w:pos="993" w:leader="none"/>
        </w:tabs>
        <w:spacing w:before="0" w:after="0"/>
        <w:ind w:left="0" w:hanging="0"/>
        <w:contextualSpacing/>
        <w:jc w:val="both"/>
        <w:rPr>
          <w:rFonts w:eastAsia="Calibri"/>
          <w:sz w:val="24"/>
          <w:szCs w:val="24"/>
        </w:rPr>
      </w:pPr>
      <w:r>
        <w:rPr>
          <w:rFonts w:eastAsia="Calibri"/>
          <w:sz w:val="24"/>
          <w:szCs w:val="24"/>
        </w:rPr>
        <w:t xml:space="preserve">Цыганкова Н.И. Модель психологической коррекции младших школьников с минимальной мозговой дисфункцией // Материалы научной конференции «Ананьевские чтения – 2010». Современные прикладные направления и проблемы психологии: Часть 2. / Отв. ред. Л.А. Цветкова. – СПб.: Изд-во С.-Петербургского университета, 2010. – 592 с. – С. 178-179. </w:t>
      </w:r>
    </w:p>
    <w:p>
      <w:pPr>
        <w:pStyle w:val="Normal"/>
        <w:widowControl w:val="false"/>
        <w:numPr>
          <w:ilvl w:val="0"/>
          <w:numId w:val="21"/>
        </w:numPr>
        <w:tabs>
          <w:tab w:val="clear" w:pos="708"/>
          <w:tab w:val="left" w:pos="993" w:leader="none"/>
        </w:tabs>
        <w:autoSpaceDE w:val="false"/>
        <w:spacing w:before="0" w:after="0"/>
        <w:ind w:left="0" w:hanging="0"/>
        <w:contextualSpacing/>
        <w:jc w:val="both"/>
        <w:rPr>
          <w:rFonts w:eastAsia="Calibri"/>
          <w:sz w:val="24"/>
          <w:szCs w:val="24"/>
        </w:rPr>
      </w:pPr>
      <w:r>
        <w:rPr>
          <w:rFonts w:eastAsia="Calibri"/>
          <w:color w:val="000000"/>
          <w:sz w:val="24"/>
          <w:szCs w:val="24"/>
          <w:shd w:fill="FFFFFF" w:val="clear"/>
        </w:rPr>
        <w:t>Цыганкова Н.И., Никольская И.М. Межличностные отношения младших школьников с гиперкинетическим расстройством // Вестник Тюменского государственного университета: Сер. Педагогика и психология. – Тюмень: ТюмГУ, 2011 № 9.</w:t>
      </w:r>
      <w:r>
        <w:rPr>
          <w:rFonts w:eastAsia="Calibri"/>
          <w:sz w:val="24"/>
          <w:szCs w:val="24"/>
        </w:rPr>
        <w:t>–</w:t>
      </w:r>
      <w:r>
        <w:rPr>
          <w:rFonts w:eastAsia="Calibri"/>
          <w:color w:val="000000"/>
          <w:sz w:val="24"/>
          <w:szCs w:val="24"/>
          <w:shd w:fill="FFFFFF" w:val="clear"/>
        </w:rPr>
        <w:t xml:space="preserve"> С. 216-223. </w:t>
      </w:r>
    </w:p>
    <w:p>
      <w:pPr>
        <w:pStyle w:val="Normal"/>
        <w:numPr>
          <w:ilvl w:val="0"/>
          <w:numId w:val="21"/>
        </w:numPr>
        <w:tabs>
          <w:tab w:val="clear" w:pos="708"/>
          <w:tab w:val="left" w:pos="993" w:leader="none"/>
        </w:tabs>
        <w:ind w:left="0" w:hanging="0"/>
        <w:jc w:val="both"/>
        <w:rPr/>
      </w:pPr>
      <w:r>
        <w:rPr>
          <w:rFonts w:eastAsia="Calibri"/>
          <w:sz w:val="24"/>
          <w:szCs w:val="24"/>
          <w:lang w:eastAsia="en-US"/>
        </w:rPr>
        <w:t xml:space="preserve">Шевченко Ю.С. Коррекция поведения детей с гиперактивностью и психопатоподобным синдромом: </w:t>
      </w:r>
      <w:r>
        <w:rPr>
          <w:rFonts w:eastAsia="Calibri"/>
          <w:sz w:val="24"/>
          <w:szCs w:val="24"/>
          <w:shd w:fill="FFFFFF" w:val="clear"/>
          <w:lang w:eastAsia="en-US"/>
        </w:rPr>
        <w:t xml:space="preserve">Практическое руководство для врачей, психологов и педагогов. </w:t>
      </w:r>
      <w:r>
        <w:rPr>
          <w:rFonts w:eastAsia="Calibri"/>
          <w:sz w:val="24"/>
          <w:szCs w:val="24"/>
          <w:lang w:eastAsia="en-US"/>
        </w:rPr>
        <w:t xml:space="preserve">– </w:t>
      </w:r>
      <w:r>
        <w:rPr>
          <w:rFonts w:eastAsia="Calibri"/>
          <w:bCs/>
          <w:sz w:val="24"/>
          <w:szCs w:val="24"/>
          <w:shd w:fill="FFFFFF" w:val="clear"/>
          <w:lang w:eastAsia="en-US"/>
        </w:rPr>
        <w:t>2</w:t>
      </w:r>
      <w:r>
        <w:rPr>
          <w:rFonts w:eastAsia="Calibri"/>
          <w:sz w:val="24"/>
          <w:szCs w:val="24"/>
          <w:shd w:fill="FFFFFF" w:val="clear"/>
          <w:lang w:eastAsia="en-US"/>
        </w:rPr>
        <w:t>-ое изд.</w:t>
      </w:r>
      <w:r>
        <w:rPr>
          <w:rFonts w:eastAsia="Calibri"/>
          <w:sz w:val="24"/>
          <w:szCs w:val="24"/>
          <w:lang w:eastAsia="en-US"/>
        </w:rPr>
        <w:t xml:space="preserve">– М.: Вита-Пресс, 1997. – 48 с. </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Эйдемиллер Э.Г., Добряков И.В., Никольская И.М. Семейный диагноз и семейная психотерапия. Учебное пособие для врачей и психологов. Изд. 2-е, испр. и доп. – СПб.: Речь, 2006. – 352 с.</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 xml:space="preserve">Эйдемиллер Э.Г., Юстицкий В. Психология и психотерапия семьи. – СПб.: Питер, 1999. – 656 с. </w:t>
      </w:r>
    </w:p>
    <w:p>
      <w:pPr>
        <w:pStyle w:val="Normal"/>
        <w:numPr>
          <w:ilvl w:val="0"/>
          <w:numId w:val="21"/>
        </w:numPr>
        <w:tabs>
          <w:tab w:val="clear" w:pos="708"/>
          <w:tab w:val="left" w:pos="993" w:leader="none"/>
        </w:tabs>
        <w:ind w:left="0" w:hanging="0"/>
        <w:jc w:val="both"/>
        <w:rPr>
          <w:rFonts w:eastAsia="Calibri"/>
          <w:sz w:val="24"/>
          <w:szCs w:val="24"/>
          <w:lang w:eastAsia="en-US"/>
        </w:rPr>
      </w:pPr>
      <w:r>
        <w:rPr>
          <w:rFonts w:eastAsia="Calibri"/>
          <w:sz w:val="24"/>
          <w:szCs w:val="24"/>
          <w:lang w:eastAsia="en-US"/>
        </w:rPr>
        <w:t>Ясюкова Л.А. Оптимизация обучения и развития детей с минимальными мозговыми дисфункциями. – СПб.: ИМАТОН, 1997. – 136 с.</w:t>
      </w:r>
    </w:p>
    <w:p>
      <w:pPr>
        <w:pStyle w:val="Normal"/>
        <w:shd w:fill="FFFFFF" w:val="clear"/>
        <w:ind w:firstLine="6173"/>
        <w:jc w:val="both"/>
        <w:rPr>
          <w:rFonts w:eastAsia="Calibri"/>
          <w:color w:val="000000"/>
          <w:sz w:val="24"/>
          <w:szCs w:val="24"/>
          <w:lang w:eastAsia="en-US"/>
        </w:rPr>
      </w:pPr>
      <w:r>
        <w:rPr>
          <w:rFonts w:eastAsia="Calibri"/>
          <w:color w:val="000000"/>
          <w:sz w:val="24"/>
          <w:szCs w:val="24"/>
          <w:lang w:eastAsia="en-US"/>
        </w:rPr>
      </w:r>
    </w:p>
    <w:p>
      <w:pPr>
        <w:pStyle w:val="Normal"/>
        <w:shd w:fill="FFFFFF" w:val="clear"/>
        <w:spacing w:lineRule="auto" w:line="360"/>
        <w:ind w:firstLine="709"/>
        <w:jc w:val="both"/>
        <w:rPr>
          <w:rFonts w:eastAsia="Calibri"/>
          <w:color w:val="000000"/>
          <w:sz w:val="24"/>
          <w:szCs w:val="24"/>
          <w:lang w:eastAsia="en-US"/>
        </w:rPr>
      </w:pPr>
      <w:r>
        <w:rPr>
          <w:rFonts w:eastAsia="Calibri"/>
          <w:color w:val="000000"/>
          <w:sz w:val="24"/>
          <w:szCs w:val="24"/>
          <w:lang w:eastAsia="en-US"/>
        </w:rPr>
        <w:t>4. Общие требования к организации образовательного процесса.</w:t>
      </w:r>
    </w:p>
    <w:p>
      <w:pPr>
        <w:pStyle w:val="Normal"/>
        <w:shd w:fill="FFFFFF" w:val="clear"/>
        <w:tabs>
          <w:tab w:val="clear" w:pos="708"/>
          <w:tab w:val="left" w:pos="993" w:leader="none"/>
        </w:tabs>
        <w:spacing w:lineRule="auto" w:line="360"/>
        <w:ind w:firstLine="709"/>
        <w:jc w:val="both"/>
        <w:rPr/>
      </w:pPr>
      <w:r>
        <w:rPr>
          <w:rFonts w:eastAsia="Calibri"/>
          <w:color w:val="000000"/>
          <w:sz w:val="24"/>
          <w:szCs w:val="24"/>
          <w:lang w:eastAsia="en-US"/>
        </w:rPr>
        <w:t xml:space="preserve">Занятия проводятся в соответствии с расписанием СПб АППО. Предусмотрены выездные занятия на базе ГОУ, наиболее эффективно реализующих </w:t>
      </w:r>
      <w:r>
        <w:rPr>
          <w:sz w:val="24"/>
          <w:szCs w:val="24"/>
        </w:rPr>
        <w:t>технологии п</w:t>
      </w:r>
      <w:r>
        <w:rPr>
          <w:rFonts w:eastAsia="Calibri"/>
          <w:sz w:val="24"/>
          <w:szCs w:val="24"/>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w:t>
      </w:r>
      <w:r>
        <w:rPr>
          <w:rFonts w:eastAsia="Calibri"/>
          <w:color w:val="000000"/>
          <w:sz w:val="24"/>
          <w:szCs w:val="24"/>
          <w:lang w:eastAsia="en-US"/>
        </w:rPr>
        <w:t xml:space="preserve"> Консультативная помощь обучающимся оказывается в очной форме и в форме </w:t>
      </w:r>
      <w:r>
        <w:rPr>
          <w:rFonts w:eastAsia="Calibri"/>
          <w:sz w:val="24"/>
          <w:szCs w:val="24"/>
          <w:lang w:eastAsia="en-US"/>
        </w:rPr>
        <w:t>голосовых и текстовых on-lin</w:t>
      </w:r>
      <w:r>
        <w:rPr>
          <w:rFonts w:eastAsia="Calibri"/>
          <w:sz w:val="24"/>
          <w:szCs w:val="24"/>
          <w:lang w:val="en-US" w:eastAsia="en-US"/>
        </w:rPr>
        <w:t>e</w:t>
      </w:r>
      <w:r>
        <w:rPr>
          <w:rFonts w:eastAsia="Calibri"/>
          <w:sz w:val="24"/>
          <w:szCs w:val="24"/>
          <w:lang w:eastAsia="en-US"/>
        </w:rPr>
        <w:t xml:space="preserve"> сеансов связи, по электронной почте. Предпочтение отдается интерактивным формам организации лекционных и практических занятий, которые в большей степени обеспечивают системно-деятельностный подход в обучении взрослых: интерактивные лекции и интернет-практикумы; методические практикумы и семинары; круглые столы и деловые игры; кейс-технологии, тренинги и индивидуальные выступления по обмену опытом и т.п. </w:t>
      </w:r>
    </w:p>
    <w:p>
      <w:pPr>
        <w:pStyle w:val="Normal"/>
        <w:shd w:fill="FFFFFF" w:val="clear"/>
        <w:spacing w:lineRule="auto" w:line="360"/>
        <w:ind w:firstLine="709"/>
        <w:jc w:val="both"/>
        <w:rPr>
          <w:rFonts w:eastAsia="Calibri"/>
          <w:color w:val="000000"/>
          <w:sz w:val="24"/>
          <w:szCs w:val="24"/>
          <w:lang w:eastAsia="en-US"/>
        </w:rPr>
      </w:pPr>
      <w:r>
        <w:rPr>
          <w:rFonts w:eastAsia="Calibri"/>
          <w:color w:val="000000"/>
          <w:sz w:val="24"/>
          <w:szCs w:val="24"/>
          <w:lang w:eastAsia="en-US"/>
        </w:rPr>
      </w:r>
    </w:p>
    <w:p>
      <w:pPr>
        <w:pStyle w:val="Normal"/>
        <w:jc w:val="center"/>
        <w:rPr>
          <w:rFonts w:eastAsia="Calibri"/>
          <w:b/>
          <w:b/>
          <w:color w:val="000000"/>
          <w:sz w:val="24"/>
          <w:szCs w:val="24"/>
          <w:lang w:eastAsia="en-US"/>
        </w:rPr>
      </w:pPr>
      <w:r>
        <w:rPr>
          <w:rFonts w:eastAsia="Calibri"/>
          <w:b/>
          <w:color w:val="000000"/>
          <w:sz w:val="24"/>
          <w:szCs w:val="24"/>
          <w:lang w:eastAsia="en-US"/>
        </w:rPr>
        <w:t>РАБОЧИЕ ПРОГРАММЫ УЧЕБНЫХ МОДУЛЕЙ</w:t>
      </w:r>
    </w:p>
    <w:p>
      <w:pPr>
        <w:pStyle w:val="Normal"/>
        <w:ind w:firstLine="567"/>
        <w:jc w:val="both"/>
        <w:rPr>
          <w:rFonts w:eastAsia="Calibri"/>
          <w:b/>
          <w:b/>
          <w:sz w:val="24"/>
          <w:szCs w:val="24"/>
          <w:lang w:eastAsia="en-US"/>
        </w:rPr>
      </w:pPr>
      <w:r>
        <w:rPr>
          <w:rFonts w:eastAsia="Calibri"/>
          <w:b/>
          <w:sz w:val="24"/>
          <w:szCs w:val="24"/>
          <w:lang w:eastAsia="en-US"/>
        </w:rPr>
        <w:t>Модуль 1. «</w:t>
      </w:r>
      <w:r>
        <w:rPr>
          <w:b/>
          <w:sz w:val="24"/>
          <w:szCs w:val="24"/>
        </w:rPr>
        <w:t>Профессиональная компетентность педагога ГОУ в работе с детьми с особыми образовательными потребностями</w:t>
      </w:r>
      <w:r>
        <w:rPr>
          <w:rFonts w:eastAsia="Calibri"/>
          <w:b/>
          <w:sz w:val="24"/>
          <w:szCs w:val="24"/>
          <w:lang w:eastAsia="en-US"/>
        </w:rPr>
        <w:t xml:space="preserve">» </w:t>
      </w:r>
    </w:p>
    <w:p>
      <w:pPr>
        <w:pStyle w:val="Normal"/>
        <w:rPr/>
      </w:pPr>
      <w:r>
        <w:rPr/>
        <w:t>Планируемые результаты обучения (декомпозиция компетенций, формируемых в рамках данной рабочей программы):</w:t>
      </w:r>
    </w:p>
    <w:tbl>
      <w:tblPr>
        <w:tblW w:w="9451" w:type="dxa"/>
        <w:jc w:val="left"/>
        <w:tblInd w:w="-94" w:type="dxa"/>
        <w:tblLayout w:type="fixed"/>
        <w:tblCellMar>
          <w:top w:w="140" w:type="dxa"/>
          <w:left w:w="80" w:type="dxa"/>
          <w:bottom w:w="140" w:type="dxa"/>
          <w:right w:w="80" w:type="dxa"/>
        </w:tblCellMar>
      </w:tblPr>
      <w:tblGrid>
        <w:gridCol w:w="2317"/>
        <w:gridCol w:w="2299"/>
        <w:gridCol w:w="2268"/>
        <w:gridCol w:w="2567"/>
      </w:tblGrid>
      <w:tr>
        <w:trPr>
          <w:trHeight w:val="300" w:hRule="atLeast"/>
        </w:trPr>
        <w:tc>
          <w:tcPr>
            <w:tcW w:w="2317" w:type="dxa"/>
            <w:tcBorders>
              <w:top w:val="single" w:sz="6" w:space="0" w:color="000000"/>
              <w:left w:val="single" w:sz="6" w:space="0" w:color="000000"/>
              <w:bottom w:val="single" w:sz="6" w:space="0" w:color="000000"/>
              <w:right w:val="single" w:sz="6" w:space="0" w:color="000000"/>
            </w:tcBorders>
          </w:tcPr>
          <w:p>
            <w:pPr>
              <w:pStyle w:val="Normal"/>
              <w:ind w:hanging="30"/>
              <w:jc w:val="center"/>
              <w:rPr>
                <w:rFonts w:eastAsia="Calibri"/>
                <w:color w:val="000000"/>
                <w:lang w:eastAsia="en-US"/>
              </w:rPr>
            </w:pPr>
            <w:r>
              <w:rPr>
                <w:rFonts w:eastAsia="Calibri"/>
                <w:color w:val="000000"/>
                <w:lang w:eastAsia="en-US"/>
              </w:rPr>
              <w:t>Задача профессиональной деятельности:</w:t>
            </w:r>
          </w:p>
        </w:tc>
        <w:tc>
          <w:tcPr>
            <w:tcW w:w="7134" w:type="dxa"/>
            <w:gridSpan w:val="3"/>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lang w:eastAsia="en-US"/>
              </w:rPr>
              <w:t>Оценка параметров и проектирование психологически безопасной и комфортной образовательной среды</w:t>
            </w:r>
          </w:p>
        </w:tc>
      </w:tr>
      <w:tr>
        <w:trPr>
          <w:trHeight w:val="300" w:hRule="atLeast"/>
        </w:trPr>
        <w:tc>
          <w:tcPr>
            <w:tcW w:w="2317" w:type="dxa"/>
            <w:tcBorders>
              <w:top w:val="single" w:sz="6" w:space="0" w:color="000000"/>
              <w:left w:val="single" w:sz="6" w:space="0" w:color="000000"/>
              <w:bottom w:val="single" w:sz="6" w:space="0" w:color="000000"/>
              <w:right w:val="single" w:sz="6" w:space="0" w:color="000000"/>
            </w:tcBorders>
          </w:tcPr>
          <w:p>
            <w:pPr>
              <w:pStyle w:val="Normal"/>
              <w:ind w:hanging="30"/>
              <w:jc w:val="center"/>
              <w:rPr>
                <w:rFonts w:eastAsia="Calibri"/>
                <w:color w:val="000000"/>
                <w:lang w:eastAsia="en-US"/>
              </w:rPr>
            </w:pPr>
            <w:r>
              <w:rPr>
                <w:rFonts w:eastAsia="Calibri"/>
                <w:color w:val="000000"/>
                <w:lang w:eastAsia="en-US"/>
              </w:rPr>
              <w:t>Профессиональные компетенции (ПК)</w:t>
            </w:r>
          </w:p>
        </w:tc>
        <w:tc>
          <w:tcPr>
            <w:tcW w:w="2299" w:type="dxa"/>
            <w:tcBorders>
              <w:top w:val="single" w:sz="6" w:space="0" w:color="000000"/>
              <w:left w:val="single" w:sz="6" w:space="0" w:color="000000"/>
              <w:bottom w:val="single" w:sz="6" w:space="0" w:color="000000"/>
              <w:right w:val="single" w:sz="6" w:space="0" w:color="000000"/>
            </w:tcBorders>
          </w:tcPr>
          <w:p>
            <w:pPr>
              <w:pStyle w:val="Normal"/>
              <w:ind w:hanging="17"/>
              <w:jc w:val="center"/>
              <w:rPr>
                <w:rFonts w:eastAsia="Calibri"/>
                <w:color w:val="000000"/>
                <w:lang w:eastAsia="en-US"/>
              </w:rPr>
            </w:pPr>
            <w:r>
              <w:rPr>
                <w:rFonts w:eastAsia="Calibri"/>
                <w:color w:val="000000"/>
                <w:lang w:eastAsia="en-US"/>
              </w:rPr>
              <w:t>Слушатель должен знать (З):</w:t>
            </w:r>
          </w:p>
        </w:tc>
        <w:tc>
          <w:tcPr>
            <w:tcW w:w="2268" w:type="dxa"/>
            <w:tcBorders>
              <w:top w:val="single" w:sz="6" w:space="0" w:color="000000"/>
              <w:left w:val="single" w:sz="6" w:space="0" w:color="000000"/>
              <w:bottom w:val="single" w:sz="6" w:space="0" w:color="000000"/>
              <w:right w:val="single" w:sz="6" w:space="0" w:color="000000"/>
            </w:tcBorders>
          </w:tcPr>
          <w:p>
            <w:pPr>
              <w:pStyle w:val="Normal"/>
              <w:ind w:hanging="11"/>
              <w:jc w:val="center"/>
              <w:rPr>
                <w:rFonts w:eastAsia="Calibri"/>
                <w:color w:val="000000"/>
                <w:lang w:eastAsia="en-US"/>
              </w:rPr>
            </w:pPr>
            <w:r>
              <w:rPr>
                <w:rFonts w:eastAsia="Calibri"/>
                <w:color w:val="000000"/>
                <w:lang w:eastAsia="en-US"/>
              </w:rPr>
              <w:t>Слушатель должен уметь (У):</w:t>
            </w:r>
          </w:p>
        </w:tc>
        <w:tc>
          <w:tcPr>
            <w:tcW w:w="2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pPr>
              <w:pStyle w:val="Normal"/>
              <w:jc w:val="center"/>
              <w:rPr>
                <w:rFonts w:eastAsia="Calibri"/>
                <w:color w:val="FF0000"/>
                <w:lang w:eastAsia="en-US"/>
              </w:rPr>
            </w:pPr>
            <w:r>
              <w:rPr>
                <w:rFonts w:eastAsia="Calibri"/>
                <w:color w:val="000000"/>
                <w:lang w:eastAsia="en-US"/>
              </w:rPr>
              <w:t xml:space="preserve">Слушатель должен </w:t>
            </w:r>
            <w:r>
              <w:rPr>
                <w:rFonts w:eastAsia="Calibri"/>
                <w:lang w:eastAsia="en-US"/>
              </w:rPr>
              <w:t>владеть (приобрести опыт деятельности) (О):</w:t>
            </w:r>
          </w:p>
        </w:tc>
      </w:tr>
      <w:tr>
        <w:trPr>
          <w:trHeight w:val="300" w:hRule="atLeast"/>
        </w:trPr>
        <w:tc>
          <w:tcPr>
            <w:tcW w:w="2317"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lang w:eastAsia="en-US"/>
              </w:rPr>
              <w:t>Готовность осуществлять оценку параметров и проектирование психологически безопасной и комфортной образовательной среды</w:t>
            </w:r>
          </w:p>
        </w:tc>
        <w:tc>
          <w:tcPr>
            <w:tcW w:w="2299" w:type="dxa"/>
            <w:tcBorders>
              <w:top w:val="single" w:sz="6" w:space="0" w:color="000000"/>
              <w:left w:val="single" w:sz="6" w:space="0" w:color="000000"/>
              <w:bottom w:val="single" w:sz="6" w:space="0" w:color="000000"/>
              <w:right w:val="single" w:sz="6" w:space="0" w:color="000000"/>
            </w:tcBorders>
          </w:tcPr>
          <w:p>
            <w:pPr>
              <w:pStyle w:val="Normal"/>
              <w:rPr/>
            </w:pPr>
            <w:r>
              <w:rPr>
                <w:rFonts w:eastAsia="Calibri"/>
                <w:b/>
                <w:color w:val="000000"/>
                <w:lang w:eastAsia="en-US"/>
              </w:rPr>
              <w:t>(З) 1.1</w:t>
            </w:r>
            <w:r>
              <w:rPr>
                <w:rFonts w:eastAsia="Calibri"/>
                <w:color w:val="000000"/>
                <w:lang w:eastAsia="en-US"/>
              </w:rPr>
              <w:t xml:space="preserve"> Правовые основы работы с детьми с особыми образовательными потребностями</w:t>
            </w:r>
          </w:p>
          <w:p>
            <w:pPr>
              <w:pStyle w:val="Normal"/>
              <w:rPr>
                <w:rFonts w:eastAsia="Calibri"/>
                <w:color w:val="000000"/>
                <w:lang w:eastAsia="en-US"/>
              </w:rPr>
            </w:pPr>
            <w:r>
              <w:rPr>
                <w:rFonts w:eastAsia="Calibri"/>
                <w:b/>
                <w:color w:val="000000"/>
                <w:lang w:eastAsia="en-US"/>
              </w:rPr>
              <w:t>(З) 1.2</w:t>
            </w:r>
            <w:r>
              <w:rPr>
                <w:rFonts w:eastAsia="Calibri"/>
                <w:color w:val="000000"/>
                <w:lang w:eastAsia="en-US"/>
              </w:rPr>
              <w:t xml:space="preserve"> Научные представления </w:t>
            </w:r>
            <w:r>
              <w:rPr>
                <w:color w:val="000000"/>
              </w:rPr>
              <w:t>об обучении и воспитании детей с особыми образовательными потребностями</w:t>
            </w:r>
          </w:p>
        </w:tc>
        <w:tc>
          <w:tcPr>
            <w:tcW w:w="2268"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b/>
                <w:lang w:eastAsia="en-US"/>
              </w:rPr>
              <w:t>(У) 1.1</w:t>
            </w:r>
            <w:r>
              <w:rPr>
                <w:rFonts w:eastAsia="Calibri"/>
                <w:lang w:eastAsia="en-US"/>
              </w:rPr>
              <w:t xml:space="preserve"> Осуществлять оценку параметров и проектирование психологически безопасной и комфортной образовательной среды для детей с особыми образовательными потребностями</w:t>
            </w:r>
          </w:p>
        </w:tc>
        <w:tc>
          <w:tcPr>
            <w:tcW w:w="2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pPr>
              <w:pStyle w:val="Normal"/>
              <w:rPr>
                <w:rFonts w:eastAsia="Calibri"/>
                <w:color w:val="000000"/>
                <w:lang w:eastAsia="en-US"/>
              </w:rPr>
            </w:pPr>
            <w:r>
              <w:rPr>
                <w:rFonts w:eastAsia="Calibri"/>
                <w:b/>
                <w:color w:val="000000"/>
                <w:lang w:eastAsia="en-US"/>
              </w:rPr>
              <w:t>(О) 1.1</w:t>
            </w:r>
            <w:r>
              <w:rPr>
                <w:rFonts w:eastAsia="Calibri"/>
                <w:color w:val="000000"/>
                <w:lang w:eastAsia="en-US"/>
              </w:rPr>
              <w:t xml:space="preserve"> Владеть опытом оценки параметров и проектирования </w:t>
            </w:r>
            <w:r>
              <w:rPr>
                <w:rFonts w:eastAsia="Calibri"/>
                <w:lang w:eastAsia="en-US"/>
              </w:rPr>
              <w:t>психологически безопасной и комфортной образовательной среды для детей с особыми образовательными потребностями</w:t>
            </w:r>
          </w:p>
        </w:tc>
      </w:tr>
    </w:tbl>
    <w:p>
      <w:pPr>
        <w:pStyle w:val="Normal"/>
        <w:rPr>
          <w:rFonts w:eastAsia="Calibri"/>
          <w:b/>
          <w:b/>
          <w:i/>
          <w:i/>
          <w:color w:val="000000"/>
          <w:sz w:val="24"/>
          <w:szCs w:val="24"/>
          <w:lang w:eastAsia="en-US"/>
        </w:rPr>
      </w:pPr>
      <w:r>
        <w:rPr>
          <w:rFonts w:eastAsia="Calibri"/>
          <w:b/>
          <w:i/>
          <w:color w:val="000000"/>
          <w:sz w:val="24"/>
          <w:szCs w:val="24"/>
          <w:lang w:eastAsia="en-US"/>
        </w:rPr>
      </w:r>
    </w:p>
    <w:p>
      <w:pPr>
        <w:pStyle w:val="Normal"/>
        <w:tabs>
          <w:tab w:val="clear" w:pos="708"/>
          <w:tab w:val="left" w:pos="8253" w:leader="none"/>
        </w:tabs>
        <w:rPr/>
      </w:pPr>
      <w:r>
        <w:rPr/>
        <w:t>Описание образовательного процесса по данной рабочей программе:</w:t>
      </w:r>
    </w:p>
    <w:tbl>
      <w:tblPr>
        <w:tblW w:w="9474" w:type="dxa"/>
        <w:jc w:val="left"/>
        <w:tblInd w:w="-5" w:type="dxa"/>
        <w:tblLayout w:type="fixed"/>
        <w:tblCellMar>
          <w:top w:w="0" w:type="dxa"/>
          <w:left w:w="108" w:type="dxa"/>
          <w:bottom w:w="0" w:type="dxa"/>
          <w:right w:w="108" w:type="dxa"/>
        </w:tblCellMar>
      </w:tblPr>
      <w:tblGrid>
        <w:gridCol w:w="675"/>
        <w:gridCol w:w="1872"/>
        <w:gridCol w:w="709"/>
        <w:gridCol w:w="1530"/>
        <w:gridCol w:w="2297"/>
        <w:gridCol w:w="2391"/>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pPr>
            <w:r>
              <w:rPr>
                <w:rFonts w:eastAsia="Calibri"/>
                <w:color w:val="000000"/>
                <w:lang w:eastAsia="en-US"/>
              </w:rPr>
              <w:t>№</w:t>
            </w:r>
            <w:r>
              <w:rPr>
                <w:rFonts w:eastAsia="Times New Roman"/>
                <w:color w:val="000000"/>
                <w:lang w:eastAsia="en-US"/>
              </w:rPr>
              <w:t xml:space="preserve"> </w:t>
            </w:r>
            <w:r>
              <w:rPr>
                <w:rFonts w:eastAsia="Calibri"/>
                <w:color w:val="000000"/>
                <w:lang w:eastAsia="en-US"/>
              </w:rPr>
              <w:t>п</w:t>
            </w:r>
            <w:r>
              <w:rPr>
                <w:rFonts w:eastAsia="Calibri"/>
                <w:color w:val="000000"/>
                <w:lang w:val="en-US" w:eastAsia="en-US"/>
              </w:rPr>
              <w:t>/</w:t>
            </w:r>
            <w:r>
              <w:rPr>
                <w:rFonts w:eastAsia="Calibri"/>
                <w:color w:val="000000"/>
                <w:lang w:eastAsia="en-US"/>
              </w:rPr>
              <w:t>п</w:t>
            </w:r>
          </w:p>
        </w:tc>
        <w:tc>
          <w:tcPr>
            <w:tcW w:w="18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Тема занятия (нескольких занятий)</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Кол-во часов</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Формы организации учебных занятий</w:t>
            </w:r>
          </w:p>
        </w:tc>
        <w:tc>
          <w:tcPr>
            <w:tcW w:w="229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Основные элементы содержания</w:t>
            </w:r>
          </w:p>
        </w:tc>
        <w:tc>
          <w:tcPr>
            <w:tcW w:w="2391"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Формируемые (развиваемые) элементы ПК</w:t>
            </w:r>
          </w:p>
        </w:tc>
      </w:tr>
      <w:tr>
        <w:trPr>
          <w:trHeight w:val="3076" w:hRule="atLeast"/>
        </w:trPr>
        <w:tc>
          <w:tcPr>
            <w:tcW w:w="6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color w:val="000000"/>
                <w:lang w:eastAsia="en-US"/>
              </w:rPr>
            </w:pPr>
            <w:r>
              <w:rPr>
                <w:rFonts w:eastAsia="Calibri"/>
                <w:color w:val="000000"/>
                <w:lang w:eastAsia="en-US"/>
              </w:rPr>
              <w:t>1</w:t>
            </w:r>
          </w:p>
        </w:tc>
        <w:tc>
          <w:tcPr>
            <w:tcW w:w="18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pPr>
            <w:r>
              <w:rPr/>
              <w:t>Нормативная правовая база работы с детьми с особыми образовательными потребностями</w:t>
            </w:r>
          </w:p>
          <w:p>
            <w:pPr>
              <w:pStyle w:val="Normal"/>
              <w:tabs>
                <w:tab w:val="clear" w:pos="708"/>
                <w:tab w:val="left" w:pos="7513" w:leader="none"/>
              </w:tabs>
              <w:rPr/>
            </w:pPr>
            <w:r>
              <w:rPr/>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pacing w:before="0" w:after="200"/>
              <w:jc w:val="both"/>
              <w:rPr>
                <w:rFonts w:eastAsia="Calibri"/>
                <w:color w:val="000000"/>
                <w:lang w:eastAsia="en-US"/>
              </w:rPr>
            </w:pPr>
            <w:r>
              <w:rPr>
                <w:rFonts w:eastAsia="Calibri"/>
                <w:color w:val="000000"/>
                <w:lang w:eastAsia="en-US"/>
              </w:rPr>
              <w:t>18</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pacing w:before="0" w:after="200"/>
              <w:jc w:val="both"/>
              <w:rPr>
                <w:rFonts w:eastAsia="Calibri"/>
                <w:color w:val="000000"/>
                <w:lang w:eastAsia="en-US"/>
              </w:rPr>
            </w:pPr>
            <w:r>
              <w:rPr>
                <w:rFonts w:eastAsia="Calibri"/>
                <w:color w:val="000000"/>
                <w:lang w:eastAsia="en-US"/>
              </w:rPr>
              <w:t>Практикум с использованием ДОТ</w:t>
            </w:r>
          </w:p>
        </w:tc>
        <w:tc>
          <w:tcPr>
            <w:tcW w:w="229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pacing w:before="0" w:after="200"/>
              <w:jc w:val="both"/>
              <w:rPr/>
            </w:pPr>
            <w:r>
              <w:rPr>
                <w:rFonts w:eastAsia="Calibri"/>
                <w:color w:val="000000"/>
                <w:lang w:eastAsia="en-US"/>
              </w:rPr>
              <w:t xml:space="preserve">- Международные, федеральные, региональные нормативно-правовые акты, регулирующие </w:t>
            </w:r>
            <w:r>
              <w:rPr/>
              <w:t>работу с детьми с особыми образовательными потребностями</w:t>
            </w:r>
          </w:p>
          <w:p>
            <w:pPr>
              <w:pStyle w:val="Normal"/>
              <w:tabs>
                <w:tab w:val="clear" w:pos="708"/>
                <w:tab w:val="left" w:pos="7513" w:leader="none"/>
              </w:tabs>
              <w:spacing w:before="0" w:after="200"/>
              <w:jc w:val="both"/>
              <w:rPr/>
            </w:pPr>
            <w:r>
              <w:rPr>
                <w:rFonts w:eastAsia="Calibri"/>
                <w:color w:val="000000"/>
                <w:lang w:eastAsia="en-US"/>
              </w:rPr>
              <w:t xml:space="preserve">- </w:t>
            </w:r>
            <w:r>
              <w:rPr>
                <w:rFonts w:eastAsia="Calibri"/>
                <w:lang w:eastAsia="en-US"/>
              </w:rPr>
              <w:t>оценку параметров и проектирование психологически безопасной и комфортной образовательной среды для детей с особыми образовательными потребностями</w:t>
            </w:r>
            <w:r>
              <w:rPr>
                <w:rFonts w:eastAsia="Calibri"/>
                <w:color w:val="000000"/>
                <w:lang w:eastAsia="en-US"/>
              </w:rPr>
              <w:t xml:space="preserve">   </w:t>
            </w:r>
          </w:p>
        </w:tc>
        <w:tc>
          <w:tcPr>
            <w:tcW w:w="2391" w:type="dxa"/>
            <w:tcBorders>
              <w:top w:val="single" w:sz="4" w:space="0" w:color="000000"/>
              <w:left w:val="single" w:sz="4" w:space="0" w:color="000000"/>
              <w:bottom w:val="single" w:sz="4" w:space="0" w:color="000000"/>
              <w:right w:val="single" w:sz="4" w:space="0" w:color="000000"/>
            </w:tcBorders>
          </w:tcPr>
          <w:p>
            <w:pPr>
              <w:pStyle w:val="Normal"/>
              <w:rPr/>
            </w:pPr>
            <w:r>
              <w:rPr>
                <w:rFonts w:eastAsia="Calibri"/>
                <w:b/>
                <w:color w:val="000000"/>
                <w:lang w:eastAsia="en-US"/>
              </w:rPr>
              <w:t>(З) 1.1</w:t>
            </w:r>
            <w:r>
              <w:rPr>
                <w:rFonts w:eastAsia="Calibri"/>
                <w:color w:val="000000"/>
                <w:lang w:eastAsia="en-US"/>
              </w:rPr>
              <w:t xml:space="preserve"> Правовые основы работы с детьми с особыми образовательными потребностями</w:t>
            </w:r>
          </w:p>
          <w:p>
            <w:pPr>
              <w:pStyle w:val="Normal"/>
              <w:rPr>
                <w:rFonts w:eastAsia="Calibri"/>
                <w:color w:val="000000"/>
                <w:lang w:eastAsia="en-US"/>
              </w:rPr>
            </w:pPr>
            <w:r>
              <w:rPr>
                <w:rFonts w:eastAsia="Calibri"/>
                <w:b/>
                <w:lang w:eastAsia="en-US"/>
              </w:rPr>
              <w:t>(У) 1.1</w:t>
            </w:r>
            <w:r>
              <w:rPr>
                <w:rFonts w:eastAsia="Calibri"/>
                <w:lang w:eastAsia="en-US"/>
              </w:rPr>
              <w:t xml:space="preserve"> Осуществлять оценку параметров и проектирование психологически безопасной и комфортной образовательной среды для детей с особыми образовательными потребностями</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color w:val="000000"/>
                <w:lang w:eastAsia="en-US"/>
              </w:rPr>
            </w:pPr>
            <w:r>
              <w:rPr>
                <w:rFonts w:eastAsia="Calibri"/>
                <w:color w:val="000000"/>
                <w:lang w:eastAsia="en-US"/>
              </w:rPr>
              <w:t>2</w:t>
            </w:r>
          </w:p>
        </w:tc>
        <w:tc>
          <w:tcPr>
            <w:tcW w:w="187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pPr>
            <w:r>
              <w:rPr/>
              <w:t>Научно-методическое обеспечение обучения и воспитания детей с особыми образовательными потребностями</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rPr>
            </w:pPr>
            <w:r>
              <w:rPr>
                <w:color w:val="000000"/>
              </w:rPr>
              <w:t>18</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color w:val="000000"/>
              </w:rPr>
            </w:pPr>
            <w:r>
              <w:rPr>
                <w:rFonts w:eastAsia="Calibri"/>
                <w:color w:val="000000"/>
                <w:lang w:eastAsia="en-US"/>
              </w:rPr>
              <w:t>Лекции с практическими заданиями</w:t>
            </w:r>
          </w:p>
        </w:tc>
        <w:tc>
          <w:tcPr>
            <w:tcW w:w="229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color w:val="000000"/>
              </w:rPr>
            </w:pPr>
            <w:r>
              <w:rPr>
                <w:color w:val="000000"/>
              </w:rPr>
              <w:t>- Современные научные представления об обучении и воспитании детей с особыми образовательными потребностями</w:t>
            </w:r>
          </w:p>
        </w:tc>
        <w:tc>
          <w:tcPr>
            <w:tcW w:w="2391" w:type="dxa"/>
            <w:tcBorders>
              <w:top w:val="single" w:sz="4" w:space="0" w:color="000000"/>
              <w:left w:val="single" w:sz="4" w:space="0" w:color="000000"/>
              <w:bottom w:val="single" w:sz="4" w:space="0" w:color="000000"/>
              <w:right w:val="single" w:sz="4" w:space="0" w:color="000000"/>
            </w:tcBorders>
          </w:tcPr>
          <w:p>
            <w:pPr>
              <w:pStyle w:val="Normal"/>
              <w:rPr/>
            </w:pPr>
            <w:r>
              <w:rPr>
                <w:rFonts w:eastAsia="Calibri"/>
                <w:b/>
                <w:color w:val="000000"/>
                <w:lang w:eastAsia="en-US"/>
              </w:rPr>
              <w:t>(З) 1.2</w:t>
            </w:r>
            <w:r>
              <w:rPr>
                <w:rFonts w:eastAsia="Calibri"/>
                <w:color w:val="000000"/>
                <w:lang w:eastAsia="en-US"/>
              </w:rPr>
              <w:t xml:space="preserve"> Научные представления </w:t>
            </w:r>
            <w:r>
              <w:rPr>
                <w:color w:val="000000"/>
              </w:rPr>
              <w:t>об обучении и воспитании детей с особыми образовательными потребностями</w:t>
            </w:r>
          </w:p>
          <w:p>
            <w:pPr>
              <w:pStyle w:val="Normal"/>
              <w:rPr>
                <w:rFonts w:eastAsia="Calibri"/>
                <w:color w:val="000000"/>
                <w:lang w:eastAsia="en-US"/>
              </w:rPr>
            </w:pPr>
            <w:r>
              <w:rPr>
                <w:rFonts w:eastAsia="Calibri"/>
                <w:b/>
                <w:color w:val="000000"/>
                <w:lang w:eastAsia="en-US"/>
              </w:rPr>
              <w:t>(О) 1.1</w:t>
            </w:r>
            <w:r>
              <w:rPr>
                <w:rFonts w:eastAsia="Calibri"/>
                <w:color w:val="000000"/>
                <w:lang w:eastAsia="en-US"/>
              </w:rPr>
              <w:t xml:space="preserve"> Владеть опытом оценки параметров и проектирования </w:t>
            </w:r>
            <w:r>
              <w:rPr>
                <w:rFonts w:eastAsia="Calibri"/>
                <w:lang w:eastAsia="en-US"/>
              </w:rPr>
              <w:t>психологически безопасной и комфортной образовательной среды для детей с особыми образовательными потребностями</w:t>
            </w:r>
          </w:p>
        </w:tc>
      </w:tr>
    </w:tbl>
    <w:p>
      <w:pPr>
        <w:pStyle w:val="Normal"/>
        <w:tabs>
          <w:tab w:val="clear" w:pos="708"/>
          <w:tab w:val="left" w:pos="993" w:leader="none"/>
        </w:tabs>
        <w:ind w:firstLine="567"/>
        <w:jc w:val="both"/>
        <w:rPr/>
      </w:pPr>
      <w:r>
        <w:rPr>
          <w:b/>
          <w:i/>
          <w:color w:val="000000"/>
          <w:sz w:val="24"/>
          <w:szCs w:val="24"/>
        </w:rPr>
        <w:t xml:space="preserve">Вариативность в содержании и организации обучения в рамках данного учебного модуля </w:t>
      </w:r>
      <w:r>
        <w:rPr>
          <w:b/>
          <w:i/>
          <w:sz w:val="24"/>
          <w:szCs w:val="24"/>
        </w:rPr>
        <w:t xml:space="preserve">− </w:t>
      </w:r>
      <w:r>
        <w:rPr>
          <w:sz w:val="24"/>
          <w:szCs w:val="24"/>
        </w:rPr>
        <w:t xml:space="preserve">слушатель имеет право выбирать вариативность содержания, форм и методов работы </w:t>
      </w:r>
    </w:p>
    <w:p>
      <w:pPr>
        <w:pStyle w:val="Normal"/>
        <w:ind w:firstLine="567"/>
        <w:rPr>
          <w:rFonts w:eastAsia="Calibri"/>
          <w:b/>
          <w:b/>
          <w:color w:val="000000"/>
          <w:sz w:val="24"/>
          <w:szCs w:val="24"/>
          <w:lang w:eastAsia="en-US"/>
        </w:rPr>
      </w:pPr>
      <w:r>
        <w:rPr>
          <w:rFonts w:eastAsia="Calibri"/>
          <w:b/>
          <w:i/>
          <w:color w:val="000000"/>
          <w:sz w:val="24"/>
          <w:szCs w:val="24"/>
          <w:lang w:eastAsia="en-US"/>
        </w:rPr>
        <w:t>Паспорт оценочных средств для осуществления текущего контроля</w:t>
      </w:r>
      <w:r>
        <w:rPr>
          <w:rFonts w:eastAsia="Calibri"/>
          <w:i/>
          <w:color w:val="000000"/>
          <w:sz w:val="24"/>
          <w:szCs w:val="24"/>
          <w:lang w:eastAsia="en-US"/>
        </w:rPr>
        <w:t>:</w:t>
      </w:r>
    </w:p>
    <w:p>
      <w:pPr>
        <w:pStyle w:val="Normal"/>
        <w:ind w:firstLine="567"/>
        <w:rPr>
          <w:rFonts w:eastAsia="Calibri"/>
        </w:rPr>
      </w:pPr>
      <w:r>
        <w:rPr>
          <w:rFonts w:eastAsia="Times New Roman"/>
          <w:b/>
          <w:color w:val="000000"/>
          <w:sz w:val="24"/>
          <w:szCs w:val="24"/>
          <w:lang w:eastAsia="en-US"/>
        </w:rPr>
        <w:t xml:space="preserve">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center"/>
        <w:rPr>
          <w:rFonts w:eastAsia="Calibri"/>
          <w:color w:val="000000"/>
          <w:sz w:val="24"/>
          <w:szCs w:val="24"/>
          <w:lang w:eastAsia="en-US"/>
        </w:rPr>
      </w:pPr>
      <w:r>
        <w:rPr>
          <w:rFonts w:eastAsia="Calibri"/>
          <w:color w:val="000000"/>
          <w:sz w:val="24"/>
          <w:szCs w:val="24"/>
          <w:lang w:eastAsia="en-US"/>
        </w:rPr>
        <w:t>ОЦЕНОЧНЫЕ МАТЕРИАЛЫ</w:t>
      </w:r>
    </w:p>
    <w:p>
      <w:pPr>
        <w:pStyle w:val="Normal"/>
        <w:ind w:firstLine="567"/>
        <w:jc w:val="both"/>
        <w:rPr/>
      </w:pPr>
      <w:r>
        <w:rPr>
          <w:rFonts w:eastAsia="Calibri"/>
          <w:sz w:val="24"/>
          <w:szCs w:val="24"/>
          <w:lang w:eastAsia="en-US"/>
        </w:rPr>
        <w:t>Текущий контроль по модулю 1. «</w:t>
      </w:r>
      <w:r>
        <w:rPr>
          <w:sz w:val="24"/>
          <w:szCs w:val="24"/>
        </w:rPr>
        <w:t>Профессиональная компетентность педагога ГОУ в работе с детьми с особыми образовательными потребностями</w:t>
      </w:r>
      <w:r>
        <w:rPr>
          <w:rFonts w:eastAsia="Calibri"/>
          <w:sz w:val="24"/>
          <w:szCs w:val="24"/>
          <w:lang w:eastAsia="en-US"/>
        </w:rPr>
        <w:t>» проводится в форме устного экзамена.</w:t>
      </w:r>
    </w:p>
    <w:p>
      <w:pPr>
        <w:pStyle w:val="Normal"/>
        <w:shd w:fill="FFFFFF" w:val="clear"/>
        <w:tabs>
          <w:tab w:val="clear" w:pos="708"/>
          <w:tab w:val="left" w:pos="916" w:leader="none"/>
          <w:tab w:val="left" w:pos="993"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both"/>
        <w:rPr>
          <w:rFonts w:eastAsia="Calibri"/>
          <w:sz w:val="24"/>
          <w:szCs w:val="24"/>
          <w:lang w:eastAsia="en-US"/>
        </w:rPr>
      </w:pPr>
      <w:r>
        <w:rPr>
          <w:rFonts w:eastAsia="Calibri"/>
          <w:sz w:val="24"/>
          <w:szCs w:val="24"/>
          <w:lang w:eastAsia="en-US"/>
        </w:rPr>
        <w:t xml:space="preserve">Устный экзамен представляет собой методический семинар, предполагающий ответы слушателей на вопросы по тематике модуля.  </w:t>
      </w:r>
    </w:p>
    <w:p>
      <w:pPr>
        <w:pStyle w:val="Normal"/>
        <w:tabs>
          <w:tab w:val="clear" w:pos="708"/>
          <w:tab w:val="left" w:pos="993" w:leader="none"/>
        </w:tabs>
        <w:spacing w:before="0" w:after="0"/>
        <w:ind w:firstLine="567"/>
        <w:contextualSpacing/>
        <w:jc w:val="both"/>
        <w:rPr>
          <w:rFonts w:eastAsia="Calibri"/>
          <w:sz w:val="24"/>
          <w:szCs w:val="24"/>
        </w:rPr>
      </w:pPr>
      <w:r>
        <w:rPr>
          <w:rFonts w:eastAsia="Calibri"/>
          <w:sz w:val="24"/>
          <w:szCs w:val="24"/>
        </w:rPr>
        <w:t>Текущий контроль в форме устного экзамена является дифференцированным и подразумевает выставление оценки в категориях «отлично», «хорошо», «удовлетворительно» и «неудовлетворительно».</w:t>
      </w:r>
    </w:p>
    <w:p>
      <w:pPr>
        <w:pStyle w:val="Normal"/>
        <w:ind w:firstLine="567"/>
        <w:jc w:val="both"/>
        <w:rPr>
          <w:rFonts w:eastAsia="Calibri"/>
          <w:sz w:val="24"/>
          <w:szCs w:val="24"/>
          <w:lang w:eastAsia="en-US"/>
        </w:rPr>
      </w:pPr>
      <w:r>
        <w:rPr>
          <w:rFonts w:eastAsia="Calibri"/>
          <w:sz w:val="24"/>
          <w:szCs w:val="24"/>
          <w:lang w:eastAsia="en-US"/>
        </w:rPr>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center"/>
        <w:rPr>
          <w:rFonts w:eastAsia="Calibri"/>
          <w:color w:val="000000"/>
          <w:sz w:val="24"/>
          <w:szCs w:val="24"/>
          <w:lang w:eastAsia="en-US"/>
        </w:rPr>
      </w:pPr>
      <w:r>
        <w:rPr>
          <w:rFonts w:eastAsia="Calibri"/>
          <w:color w:val="000000"/>
          <w:sz w:val="24"/>
          <w:szCs w:val="24"/>
          <w:lang w:eastAsia="en-US"/>
        </w:rPr>
        <w:t>ПАСПОРТ ОЦЕНОЧНОГО СРЕДСТВА</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center"/>
        <w:rPr>
          <w:rFonts w:eastAsia="Calibri"/>
          <w:color w:val="000000"/>
          <w:sz w:val="24"/>
          <w:szCs w:val="24"/>
          <w:lang w:eastAsia="en-US"/>
        </w:rPr>
      </w:pPr>
      <w:r>
        <w:rPr>
          <w:rFonts w:eastAsia="Calibri"/>
          <w:color w:val="000000"/>
          <w:sz w:val="24"/>
          <w:szCs w:val="24"/>
          <w:lang w:eastAsia="en-US"/>
        </w:rPr>
        <w:t>УСТНЫЙ ЭКЗАМЕН</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both"/>
        <w:rPr>
          <w:rFonts w:eastAsia="Calibri"/>
          <w:color w:val="000000"/>
          <w:sz w:val="24"/>
          <w:szCs w:val="24"/>
          <w:lang w:eastAsia="en-US"/>
        </w:rPr>
      </w:pPr>
      <w:r>
        <w:rPr>
          <w:rFonts w:eastAsia="Calibri"/>
          <w:color w:val="000000"/>
          <w:sz w:val="24"/>
          <w:szCs w:val="24"/>
          <w:lang w:eastAsia="en-US"/>
        </w:rPr>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both"/>
        <w:rPr/>
      </w:pPr>
      <w:r>
        <w:rPr>
          <w:rFonts w:eastAsia="Calibri"/>
          <w:sz w:val="24"/>
          <w:szCs w:val="24"/>
          <w:lang w:eastAsia="en-US"/>
        </w:rPr>
        <w:t>Текущий контроль в форме устного экзамена</w:t>
      </w:r>
      <w:r>
        <w:rPr>
          <w:rFonts w:eastAsia="Calibri"/>
          <w:color w:val="000000"/>
          <w:sz w:val="24"/>
          <w:szCs w:val="24"/>
          <w:lang w:eastAsia="en-US"/>
        </w:rPr>
        <w:t xml:space="preserve"> предполагает ответы слушателей на вопросы по теме модуля.</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both"/>
        <w:rPr>
          <w:rFonts w:eastAsia="Calibri"/>
          <w:color w:val="000000"/>
          <w:sz w:val="24"/>
          <w:szCs w:val="24"/>
          <w:lang w:eastAsia="en-US"/>
        </w:rPr>
      </w:pPr>
      <w:r>
        <w:rPr>
          <w:rFonts w:eastAsia="Calibri"/>
          <w:color w:val="000000"/>
          <w:sz w:val="24"/>
          <w:szCs w:val="24"/>
          <w:lang w:eastAsia="en-US"/>
        </w:rPr>
        <w:t xml:space="preserve">Текст типового задания: </w:t>
      </w:r>
    </w:p>
    <w:p>
      <w:pPr>
        <w:pStyle w:val="Normal"/>
        <w:numPr>
          <w:ilvl w:val="0"/>
          <w:numId w:val="5"/>
        </w:numPr>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200"/>
        <w:ind w:left="927" w:firstLine="567"/>
        <w:contextualSpacing/>
        <w:jc w:val="both"/>
        <w:rPr/>
      </w:pPr>
      <w:r>
        <w:rPr>
          <w:rFonts w:eastAsia="Calibri"/>
          <w:color w:val="000000"/>
          <w:sz w:val="24"/>
          <w:szCs w:val="24"/>
        </w:rPr>
        <w:t xml:space="preserve">Представьте нормативно-правовые основания </w:t>
      </w:r>
      <w:r>
        <w:rPr>
          <w:sz w:val="24"/>
          <w:szCs w:val="24"/>
        </w:rPr>
        <w:t>работы с детьми с особыми образовательными потребностями</w:t>
      </w:r>
      <w:r>
        <w:rPr>
          <w:rFonts w:eastAsia="Calibri"/>
          <w:color w:val="000000"/>
          <w:sz w:val="24"/>
          <w:szCs w:val="24"/>
        </w:rPr>
        <w:t xml:space="preserve"> </w:t>
      </w:r>
    </w:p>
    <w:p>
      <w:pPr>
        <w:pStyle w:val="Normal"/>
        <w:numPr>
          <w:ilvl w:val="0"/>
          <w:numId w:val="5"/>
        </w:numPr>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200"/>
        <w:ind w:left="927" w:firstLine="567"/>
        <w:contextualSpacing/>
        <w:jc w:val="both"/>
        <w:rPr>
          <w:rFonts w:eastAsia="Calibri"/>
          <w:color w:val="000000"/>
          <w:sz w:val="24"/>
          <w:szCs w:val="24"/>
        </w:rPr>
      </w:pPr>
      <w:r>
        <w:rPr>
          <w:rFonts w:eastAsia="Calibri"/>
          <w:color w:val="000000"/>
          <w:sz w:val="24"/>
          <w:szCs w:val="24"/>
        </w:rPr>
        <w:t>Опишите современные научно-теоретические представления об обучении и воспитании детей с особыми образовательными потребностями</w:t>
      </w:r>
    </w:p>
    <w:tbl>
      <w:tblPr>
        <w:tblW w:w="9530" w:type="dxa"/>
        <w:jc w:val="left"/>
        <w:tblInd w:w="-94" w:type="dxa"/>
        <w:tblLayout w:type="fixed"/>
        <w:tblCellMar>
          <w:top w:w="140" w:type="dxa"/>
          <w:left w:w="80" w:type="dxa"/>
          <w:bottom w:w="140" w:type="dxa"/>
          <w:right w:w="80" w:type="dxa"/>
        </w:tblCellMar>
      </w:tblPr>
      <w:tblGrid>
        <w:gridCol w:w="2432"/>
        <w:gridCol w:w="1901"/>
        <w:gridCol w:w="2835"/>
        <w:gridCol w:w="2362"/>
      </w:tblGrid>
      <w:tr>
        <w:trPr>
          <w:trHeight w:val="300" w:hRule="atLeast"/>
        </w:trPr>
        <w:tc>
          <w:tcPr>
            <w:tcW w:w="2432"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 xml:space="preserve">Предмет(ы) </w:t>
            </w:r>
          </w:p>
          <w:p>
            <w:pPr>
              <w:pStyle w:val="Normal"/>
              <w:jc w:val="center"/>
              <w:rPr>
                <w:rFonts w:eastAsia="Calibri"/>
                <w:color w:val="000000"/>
                <w:lang w:eastAsia="en-US"/>
              </w:rPr>
            </w:pPr>
            <w:r>
              <w:rPr>
                <w:rFonts w:eastAsia="Calibri"/>
                <w:color w:val="000000"/>
                <w:lang w:eastAsia="en-US"/>
              </w:rPr>
              <w:t>оценивания</w:t>
            </w:r>
          </w:p>
        </w:tc>
        <w:tc>
          <w:tcPr>
            <w:tcW w:w="1901"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 xml:space="preserve">Объект(ы) </w:t>
            </w:r>
          </w:p>
          <w:p>
            <w:pPr>
              <w:pStyle w:val="Normal"/>
              <w:jc w:val="center"/>
              <w:rPr>
                <w:rFonts w:eastAsia="Calibri"/>
                <w:color w:val="000000"/>
                <w:lang w:eastAsia="en-US"/>
              </w:rPr>
            </w:pPr>
            <w:r>
              <w:rPr>
                <w:rFonts w:eastAsia="Calibri"/>
                <w:color w:val="000000"/>
                <w:lang w:eastAsia="en-US"/>
              </w:rPr>
              <w:t>оценивания</w:t>
            </w:r>
          </w:p>
        </w:tc>
        <w:tc>
          <w:tcPr>
            <w:tcW w:w="2835"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Критерии оценки</w:t>
            </w:r>
          </w:p>
        </w:tc>
        <w:tc>
          <w:tcPr>
            <w:tcW w:w="2362"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Показатели оценки</w:t>
            </w:r>
          </w:p>
        </w:tc>
      </w:tr>
      <w:tr>
        <w:trPr>
          <w:trHeight w:val="300" w:hRule="atLeast"/>
        </w:trPr>
        <w:tc>
          <w:tcPr>
            <w:tcW w:w="2432"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lang w:eastAsia="en-US"/>
              </w:rPr>
              <w:t>Готовность осуществлять оценку параметров и проектирование психологически безопасной и комфортной образовательной среды</w:t>
            </w:r>
          </w:p>
        </w:tc>
        <w:tc>
          <w:tcPr>
            <w:tcW w:w="1901"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color w:val="000000"/>
                <w:lang w:eastAsia="en-US"/>
              </w:rPr>
              <w:t>Устное выступление (содержание выступления, ответы на дополнительные вопросы)</w:t>
            </w:r>
          </w:p>
        </w:tc>
        <w:tc>
          <w:tcPr>
            <w:tcW w:w="2835" w:type="dxa"/>
            <w:tcBorders>
              <w:top w:val="single" w:sz="6" w:space="0" w:color="000000"/>
              <w:left w:val="single" w:sz="6" w:space="0" w:color="000000"/>
              <w:bottom w:val="single" w:sz="6" w:space="0" w:color="000000"/>
              <w:right w:val="single" w:sz="6" w:space="0" w:color="000000"/>
            </w:tcBorders>
          </w:tcPr>
          <w:p>
            <w:pPr>
              <w:pStyle w:val="Normal"/>
              <w:numPr>
                <w:ilvl w:val="0"/>
                <w:numId w:val="13"/>
              </w:numPr>
              <w:shd w:fill="FFFFFF" w:val="clear"/>
              <w:tabs>
                <w:tab w:val="clear" w:pos="708"/>
                <w:tab w:val="left" w:pos="216" w:leader="none"/>
                <w:tab w:val="left" w:pos="567"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hanging="0"/>
              <w:contextualSpacing/>
              <w:jc w:val="both"/>
              <w:rPr/>
            </w:pPr>
            <w:r>
              <w:rPr>
                <w:rFonts w:eastAsia="Calibri"/>
                <w:color w:val="000000"/>
              </w:rPr>
              <w:t xml:space="preserve">В ответах на вопросы слушатель показывает знание </w:t>
            </w:r>
            <w:r>
              <w:rPr>
                <w:rFonts w:eastAsia="Calibri"/>
              </w:rPr>
              <w:t xml:space="preserve">научно-теоретических и правовых основ </w:t>
            </w:r>
            <w:r>
              <w:rPr/>
              <w:t>работы с детьми с особыми образовательными потребностями</w:t>
            </w:r>
            <w:r>
              <w:rPr>
                <w:rFonts w:eastAsia="Calibri"/>
                <w:color w:val="000000"/>
              </w:rPr>
              <w:t xml:space="preserve"> </w:t>
            </w:r>
          </w:p>
          <w:p>
            <w:pPr>
              <w:pStyle w:val="Normal"/>
              <w:numPr>
                <w:ilvl w:val="0"/>
                <w:numId w:val="13"/>
              </w:numPr>
              <w:shd w:fill="FFFFFF" w:val="clear"/>
              <w:tabs>
                <w:tab w:val="clear" w:pos="708"/>
                <w:tab w:val="left" w:pos="216" w:leader="none"/>
                <w:tab w:val="left" w:pos="567"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hanging="0"/>
              <w:contextualSpacing/>
              <w:jc w:val="both"/>
              <w:rPr>
                <w:rFonts w:eastAsia="Calibri"/>
                <w:color w:val="000000"/>
              </w:rPr>
            </w:pPr>
            <w:r>
              <w:rPr>
                <w:rFonts w:eastAsia="Calibri"/>
                <w:color w:val="000000"/>
              </w:rPr>
              <w:t xml:space="preserve">Слушатель приводит аргументы, исходя из задач </w:t>
            </w:r>
            <w:r>
              <w:rPr>
                <w:color w:val="000000"/>
              </w:rPr>
              <w:t>обучении и воспитании детей с особыми образовательными потребностями</w:t>
            </w:r>
          </w:p>
          <w:p>
            <w:pPr>
              <w:pStyle w:val="Normal"/>
              <w:numPr>
                <w:ilvl w:val="0"/>
                <w:numId w:val="13"/>
              </w:numPr>
              <w:tabs>
                <w:tab w:val="clear" w:pos="708"/>
                <w:tab w:val="left" w:pos="216" w:leader="none"/>
                <w:tab w:val="left" w:pos="257" w:leader="none"/>
                <w:tab w:val="left" w:pos="567" w:leader="none"/>
              </w:tabs>
              <w:spacing w:before="0" w:after="0"/>
              <w:ind w:left="0" w:hanging="0"/>
              <w:contextualSpacing/>
              <w:rPr>
                <w:rFonts w:eastAsia="Calibri"/>
              </w:rPr>
            </w:pPr>
            <w:r>
              <w:rPr>
                <w:rFonts w:eastAsia="Calibri"/>
                <w:color w:val="000000"/>
              </w:rPr>
              <w:t>В ходе устного ответа слушатель демонстрирует высокую речевую культуру, знание терминологии по теме модуля</w:t>
            </w:r>
          </w:p>
        </w:tc>
        <w:tc>
          <w:tcPr>
            <w:tcW w:w="2362"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color w:val="000000"/>
                <w:lang w:eastAsia="en-US"/>
              </w:rPr>
              <w:t xml:space="preserve">«Отлично» - полностью соответствует критериям </w:t>
            </w:r>
          </w:p>
          <w:p>
            <w:pPr>
              <w:pStyle w:val="Normal"/>
              <w:rPr>
                <w:rFonts w:eastAsia="Calibri"/>
                <w:color w:val="000000"/>
                <w:lang w:eastAsia="en-US"/>
              </w:rPr>
            </w:pPr>
            <w:r>
              <w:rPr>
                <w:rFonts w:eastAsia="Calibri"/>
                <w:color w:val="000000"/>
                <w:lang w:eastAsia="en-US"/>
              </w:rPr>
              <w:t>«Хорошо» - частично соответствует критериям</w:t>
            </w:r>
          </w:p>
          <w:p>
            <w:pPr>
              <w:pStyle w:val="Normal"/>
              <w:rPr>
                <w:rFonts w:eastAsia="Calibri"/>
                <w:color w:val="000000"/>
                <w:lang w:eastAsia="en-US"/>
              </w:rPr>
            </w:pPr>
            <w:r>
              <w:rPr>
                <w:rFonts w:eastAsia="Calibri"/>
                <w:color w:val="000000"/>
                <w:lang w:eastAsia="en-US"/>
              </w:rPr>
              <w:t>«Удовлетворительно» - не соответствует критериям</w:t>
            </w:r>
          </w:p>
          <w:p>
            <w:pPr>
              <w:pStyle w:val="Normal"/>
              <w:rPr>
                <w:rFonts w:eastAsia="Calibri"/>
                <w:color w:val="000000"/>
                <w:lang w:eastAsia="en-US"/>
              </w:rPr>
            </w:pPr>
            <w:r>
              <w:rPr>
                <w:rFonts w:eastAsia="Calibri"/>
                <w:color w:val="000000"/>
                <w:lang w:eastAsia="en-US"/>
              </w:rPr>
              <w:t>«Неудовлетворительно» - ответ не представлен</w:t>
            </w:r>
          </w:p>
        </w:tc>
      </w:tr>
    </w:tbl>
    <w:p>
      <w:pPr>
        <w:pStyle w:val="Normal"/>
        <w:jc w:val="both"/>
        <w:rPr>
          <w:sz w:val="24"/>
          <w:szCs w:val="24"/>
        </w:rPr>
      </w:pPr>
      <w:r>
        <w:rPr>
          <w:sz w:val="24"/>
          <w:szCs w:val="24"/>
        </w:rPr>
      </w:r>
    </w:p>
    <w:p>
      <w:pPr>
        <w:pStyle w:val="Normal"/>
        <w:ind w:firstLine="567"/>
        <w:jc w:val="both"/>
        <w:rPr/>
      </w:pPr>
      <w:r>
        <w:rPr>
          <w:rFonts w:eastAsia="Calibri"/>
          <w:b/>
          <w:sz w:val="24"/>
          <w:szCs w:val="24"/>
          <w:lang w:eastAsia="en-US"/>
        </w:rPr>
        <w:t>Модуль 2. «</w:t>
      </w:r>
      <w:r>
        <w:rPr>
          <w:b/>
          <w:sz w:val="24"/>
          <w:szCs w:val="24"/>
        </w:rPr>
        <w:t>Научно-теоретические подходы к обучению и воспитанию детей с СДВГ</w:t>
      </w:r>
      <w:r>
        <w:rPr>
          <w:rFonts w:eastAsia="Calibri"/>
          <w:b/>
          <w:sz w:val="24"/>
          <w:szCs w:val="24"/>
          <w:lang w:eastAsia="en-US"/>
        </w:rPr>
        <w:t>»</w:t>
      </w:r>
      <w:r>
        <w:rPr>
          <w:rFonts w:eastAsia="Calibri"/>
          <w:sz w:val="24"/>
          <w:szCs w:val="24"/>
          <w:lang w:eastAsia="en-US"/>
        </w:rPr>
        <w:t xml:space="preserve"> </w:t>
      </w:r>
    </w:p>
    <w:p>
      <w:pPr>
        <w:pStyle w:val="Normal"/>
        <w:jc w:val="both"/>
        <w:rPr>
          <w:rFonts w:eastAsia="Calibri"/>
          <w:i/>
          <w:i/>
          <w:sz w:val="24"/>
          <w:szCs w:val="24"/>
          <w:lang w:eastAsia="en-US"/>
        </w:rPr>
      </w:pPr>
      <w:r>
        <w:rPr>
          <w:rFonts w:eastAsia="Calibri"/>
          <w:i/>
          <w:sz w:val="24"/>
          <w:szCs w:val="24"/>
          <w:lang w:eastAsia="en-US"/>
        </w:rPr>
      </w:r>
    </w:p>
    <w:p>
      <w:pPr>
        <w:pStyle w:val="Normal"/>
        <w:rPr/>
      </w:pPr>
      <w:r>
        <w:rPr/>
        <w:t>Планируемые результаты обучения (декомпозиция компетенций, формируемых в рамках данной рабочей программы):</w:t>
      </w:r>
    </w:p>
    <w:tbl>
      <w:tblPr>
        <w:tblW w:w="9451" w:type="dxa"/>
        <w:jc w:val="left"/>
        <w:tblInd w:w="-94" w:type="dxa"/>
        <w:tblLayout w:type="fixed"/>
        <w:tblCellMar>
          <w:top w:w="140" w:type="dxa"/>
          <w:left w:w="80" w:type="dxa"/>
          <w:bottom w:w="140" w:type="dxa"/>
          <w:right w:w="80" w:type="dxa"/>
        </w:tblCellMar>
      </w:tblPr>
      <w:tblGrid>
        <w:gridCol w:w="2188"/>
        <w:gridCol w:w="2428"/>
        <w:gridCol w:w="2507"/>
        <w:gridCol w:w="2328"/>
      </w:tblGrid>
      <w:tr>
        <w:trPr>
          <w:trHeight w:val="300" w:hRule="atLeast"/>
        </w:trPr>
        <w:tc>
          <w:tcPr>
            <w:tcW w:w="2188" w:type="dxa"/>
            <w:tcBorders>
              <w:top w:val="single" w:sz="6" w:space="0" w:color="000000"/>
              <w:left w:val="single" w:sz="6" w:space="0" w:color="000000"/>
              <w:bottom w:val="single" w:sz="6" w:space="0" w:color="000000"/>
              <w:right w:val="single" w:sz="6" w:space="0" w:color="000000"/>
            </w:tcBorders>
          </w:tcPr>
          <w:p>
            <w:pPr>
              <w:pStyle w:val="Normal"/>
              <w:ind w:hanging="30"/>
              <w:jc w:val="center"/>
              <w:rPr>
                <w:rFonts w:eastAsia="Calibri"/>
                <w:color w:val="000000"/>
                <w:lang w:eastAsia="en-US"/>
              </w:rPr>
            </w:pPr>
            <w:r>
              <w:rPr>
                <w:rFonts w:eastAsia="Calibri"/>
                <w:color w:val="000000"/>
                <w:lang w:eastAsia="en-US"/>
              </w:rPr>
              <w:t>Задача профессиональной деятельности:</w:t>
            </w:r>
          </w:p>
        </w:tc>
        <w:tc>
          <w:tcPr>
            <w:tcW w:w="7263" w:type="dxa"/>
            <w:gridSpan w:val="3"/>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lang w:eastAsia="en-US"/>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tc>
      </w:tr>
      <w:tr>
        <w:trPr>
          <w:trHeight w:val="300" w:hRule="atLeast"/>
        </w:trPr>
        <w:tc>
          <w:tcPr>
            <w:tcW w:w="2188" w:type="dxa"/>
            <w:tcBorders>
              <w:top w:val="single" w:sz="6" w:space="0" w:color="000000"/>
              <w:left w:val="single" w:sz="6" w:space="0" w:color="000000"/>
              <w:bottom w:val="single" w:sz="6" w:space="0" w:color="000000"/>
              <w:right w:val="single" w:sz="6" w:space="0" w:color="000000"/>
            </w:tcBorders>
          </w:tcPr>
          <w:p>
            <w:pPr>
              <w:pStyle w:val="Normal"/>
              <w:ind w:hanging="30"/>
              <w:jc w:val="center"/>
              <w:rPr>
                <w:rFonts w:eastAsia="Calibri"/>
                <w:color w:val="000000"/>
                <w:lang w:eastAsia="en-US"/>
              </w:rPr>
            </w:pPr>
            <w:r>
              <w:rPr>
                <w:rFonts w:eastAsia="Calibri"/>
                <w:color w:val="000000"/>
                <w:lang w:eastAsia="en-US"/>
              </w:rPr>
              <w:t>Профессиональные компетенции (ПК)</w:t>
            </w:r>
          </w:p>
        </w:tc>
        <w:tc>
          <w:tcPr>
            <w:tcW w:w="2428" w:type="dxa"/>
            <w:tcBorders>
              <w:top w:val="single" w:sz="6" w:space="0" w:color="000000"/>
              <w:left w:val="single" w:sz="6" w:space="0" w:color="000000"/>
              <w:bottom w:val="single" w:sz="6" w:space="0" w:color="000000"/>
              <w:right w:val="single" w:sz="6" w:space="0" w:color="000000"/>
            </w:tcBorders>
          </w:tcPr>
          <w:p>
            <w:pPr>
              <w:pStyle w:val="Normal"/>
              <w:ind w:hanging="17"/>
              <w:jc w:val="center"/>
              <w:rPr>
                <w:rFonts w:eastAsia="Calibri"/>
                <w:color w:val="000000"/>
                <w:lang w:eastAsia="en-US"/>
              </w:rPr>
            </w:pPr>
            <w:r>
              <w:rPr>
                <w:rFonts w:eastAsia="Calibri"/>
                <w:color w:val="000000"/>
                <w:lang w:eastAsia="en-US"/>
              </w:rPr>
              <w:t>Слушатель должен знать (З):</w:t>
            </w:r>
          </w:p>
        </w:tc>
        <w:tc>
          <w:tcPr>
            <w:tcW w:w="2507" w:type="dxa"/>
            <w:tcBorders>
              <w:top w:val="single" w:sz="6" w:space="0" w:color="000000"/>
              <w:left w:val="single" w:sz="6" w:space="0" w:color="000000"/>
              <w:bottom w:val="single" w:sz="6" w:space="0" w:color="000000"/>
              <w:right w:val="single" w:sz="6" w:space="0" w:color="000000"/>
            </w:tcBorders>
          </w:tcPr>
          <w:p>
            <w:pPr>
              <w:pStyle w:val="Normal"/>
              <w:ind w:hanging="11"/>
              <w:jc w:val="center"/>
              <w:rPr>
                <w:rFonts w:eastAsia="Calibri"/>
                <w:color w:val="000000"/>
                <w:lang w:eastAsia="en-US"/>
              </w:rPr>
            </w:pPr>
            <w:r>
              <w:rPr>
                <w:rFonts w:eastAsia="Calibri"/>
                <w:color w:val="000000"/>
                <w:lang w:eastAsia="en-US"/>
              </w:rPr>
              <w:t>Слушатель должен уметь (У):</w:t>
            </w:r>
          </w:p>
        </w:tc>
        <w:tc>
          <w:tcPr>
            <w:tcW w:w="23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pPr>
              <w:pStyle w:val="Normal"/>
              <w:jc w:val="center"/>
              <w:rPr>
                <w:rFonts w:eastAsia="Calibri"/>
                <w:color w:val="FF0000"/>
                <w:lang w:eastAsia="en-US"/>
              </w:rPr>
            </w:pPr>
            <w:r>
              <w:rPr>
                <w:rFonts w:eastAsia="Calibri"/>
                <w:color w:val="000000"/>
                <w:lang w:eastAsia="en-US"/>
              </w:rPr>
              <w:t xml:space="preserve">Слушатель должен </w:t>
            </w:r>
            <w:r>
              <w:rPr>
                <w:rFonts w:eastAsia="Calibri"/>
                <w:lang w:eastAsia="en-US"/>
              </w:rPr>
              <w:t>владеть (приобрести опыт деятельности) (О):</w:t>
            </w:r>
          </w:p>
        </w:tc>
      </w:tr>
      <w:tr>
        <w:trPr>
          <w:trHeight w:val="300" w:hRule="atLeast"/>
        </w:trPr>
        <w:tc>
          <w:tcPr>
            <w:tcW w:w="2188"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lang w:eastAsia="en-US"/>
              </w:rPr>
              <w:t>Готовность осуществлять разработку (совместно с другими специалистами) и реализацию совместно с родителями (законными представителями) программ индивидуального развития ребенка</w:t>
            </w:r>
          </w:p>
        </w:tc>
        <w:tc>
          <w:tcPr>
            <w:tcW w:w="2428" w:type="dxa"/>
            <w:tcBorders>
              <w:top w:val="single" w:sz="6" w:space="0" w:color="000000"/>
              <w:left w:val="single" w:sz="6" w:space="0" w:color="000000"/>
              <w:bottom w:val="single" w:sz="6" w:space="0" w:color="000000"/>
              <w:right w:val="single" w:sz="6" w:space="0" w:color="000000"/>
            </w:tcBorders>
          </w:tcPr>
          <w:p>
            <w:pPr>
              <w:pStyle w:val="Normal"/>
              <w:rPr/>
            </w:pPr>
            <w:r>
              <w:rPr>
                <w:rFonts w:eastAsia="Calibri"/>
                <w:b/>
                <w:lang w:eastAsia="en-US"/>
              </w:rPr>
              <w:t>(З) 2.1</w:t>
            </w:r>
            <w:r>
              <w:rPr>
                <w:rFonts w:eastAsia="Calibri"/>
                <w:lang w:eastAsia="en-US"/>
              </w:rPr>
              <w:t xml:space="preserve"> Психофизиологические особенности детей с СДВГ</w:t>
            </w:r>
          </w:p>
          <w:p>
            <w:pPr>
              <w:pStyle w:val="Normal"/>
              <w:rPr/>
            </w:pPr>
            <w:r>
              <w:rPr>
                <w:rFonts w:eastAsia="Calibri"/>
                <w:b/>
                <w:lang w:eastAsia="en-US"/>
              </w:rPr>
              <w:t>(З) 2.2</w:t>
            </w:r>
            <w:r>
              <w:rPr>
                <w:rFonts w:eastAsia="Calibri"/>
                <w:lang w:eastAsia="en-US"/>
              </w:rPr>
              <w:t xml:space="preserve"> Особенности личности и межличностных отношений детей с СДВГ</w:t>
            </w:r>
          </w:p>
          <w:p>
            <w:pPr>
              <w:pStyle w:val="Normal"/>
              <w:rPr>
                <w:rFonts w:eastAsia="Calibri"/>
                <w:color w:val="000000"/>
                <w:lang w:eastAsia="en-US"/>
              </w:rPr>
            </w:pPr>
            <w:r>
              <w:rPr>
                <w:rFonts w:eastAsia="Calibri"/>
                <w:color w:val="000000"/>
                <w:lang w:eastAsia="en-US"/>
              </w:rPr>
            </w:r>
          </w:p>
        </w:tc>
        <w:tc>
          <w:tcPr>
            <w:tcW w:w="2507"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b/>
                <w:lang w:eastAsia="en-US"/>
              </w:rPr>
              <w:t>(У) 2.1</w:t>
            </w:r>
            <w:r>
              <w:rPr>
                <w:rFonts w:eastAsia="Calibri"/>
                <w:lang w:eastAsia="en-US"/>
              </w:rPr>
              <w:t xml:space="preserve"> Осуществлять разработку (совместно с другими специалистами) и реализацию совместно с родителями (законными представителями) программ индивидуального развития ребенка с СДВГ</w:t>
            </w:r>
          </w:p>
        </w:tc>
        <w:tc>
          <w:tcPr>
            <w:tcW w:w="23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pPr>
              <w:pStyle w:val="Normal"/>
              <w:rPr>
                <w:rFonts w:eastAsia="Calibri"/>
                <w:color w:val="000000"/>
                <w:lang w:eastAsia="en-US"/>
              </w:rPr>
            </w:pPr>
            <w:r>
              <w:rPr>
                <w:rFonts w:eastAsia="Calibri"/>
                <w:b/>
                <w:lang w:eastAsia="en-US"/>
              </w:rPr>
              <w:t>(О) 2.1</w:t>
            </w:r>
            <w:r>
              <w:rPr>
                <w:rFonts w:eastAsia="Calibri"/>
                <w:lang w:eastAsia="en-US"/>
              </w:rPr>
              <w:t xml:space="preserve"> Владеть опытом разработки (совместно с другими специалистами) и реализации совместно с родителями (законными представителями) программ индивидуального развития ребенка с СДВГ</w:t>
            </w:r>
          </w:p>
        </w:tc>
      </w:tr>
    </w:tbl>
    <w:p>
      <w:pPr>
        <w:pStyle w:val="Normal"/>
        <w:rPr>
          <w:rFonts w:eastAsia="Calibri"/>
          <w:b/>
          <w:b/>
          <w:i/>
          <w:i/>
          <w:color w:val="000000"/>
          <w:sz w:val="24"/>
          <w:szCs w:val="24"/>
          <w:lang w:eastAsia="en-US"/>
        </w:rPr>
      </w:pPr>
      <w:r>
        <w:rPr>
          <w:rFonts w:eastAsia="Calibri"/>
          <w:b/>
          <w:i/>
          <w:color w:val="000000"/>
          <w:sz w:val="24"/>
          <w:szCs w:val="24"/>
          <w:lang w:eastAsia="en-US"/>
        </w:rPr>
      </w:r>
    </w:p>
    <w:p>
      <w:pPr>
        <w:pStyle w:val="Normal"/>
        <w:rPr/>
      </w:pPr>
      <w:r>
        <w:rPr/>
        <w:t>- описание образовательного процесса по данной рабочей программе:</w:t>
      </w:r>
    </w:p>
    <w:tbl>
      <w:tblPr>
        <w:tblW w:w="9077" w:type="dxa"/>
        <w:jc w:val="left"/>
        <w:tblInd w:w="-5" w:type="dxa"/>
        <w:tblLayout w:type="fixed"/>
        <w:tblCellMar>
          <w:top w:w="0" w:type="dxa"/>
          <w:left w:w="108" w:type="dxa"/>
          <w:bottom w:w="0" w:type="dxa"/>
          <w:right w:w="108" w:type="dxa"/>
        </w:tblCellMar>
      </w:tblPr>
      <w:tblGrid>
        <w:gridCol w:w="719"/>
        <w:gridCol w:w="1828"/>
        <w:gridCol w:w="709"/>
        <w:gridCol w:w="1530"/>
        <w:gridCol w:w="2297"/>
        <w:gridCol w:w="1994"/>
      </w:tblGrid>
      <w:tr>
        <w:trPr/>
        <w:tc>
          <w:tcPr>
            <w:tcW w:w="71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pPr>
            <w:r>
              <w:rPr>
                <w:rFonts w:eastAsia="Calibri"/>
                <w:color w:val="000000"/>
                <w:lang w:eastAsia="en-US"/>
              </w:rPr>
              <w:t>№</w:t>
            </w:r>
            <w:r>
              <w:rPr>
                <w:rFonts w:eastAsia="Times New Roman"/>
                <w:color w:val="000000"/>
                <w:lang w:eastAsia="en-US"/>
              </w:rPr>
              <w:t xml:space="preserve"> </w:t>
            </w:r>
            <w:r>
              <w:rPr>
                <w:rFonts w:eastAsia="Calibri"/>
                <w:color w:val="000000"/>
                <w:lang w:eastAsia="en-US"/>
              </w:rPr>
              <w:t>п</w:t>
            </w:r>
            <w:r>
              <w:rPr>
                <w:rFonts w:eastAsia="Calibri"/>
                <w:color w:val="000000"/>
                <w:lang w:val="en-US" w:eastAsia="en-US"/>
              </w:rPr>
              <w:t>/</w:t>
            </w:r>
            <w:r>
              <w:rPr>
                <w:rFonts w:eastAsia="Calibri"/>
                <w:color w:val="000000"/>
                <w:lang w:eastAsia="en-US"/>
              </w:rPr>
              <w:t>п</w:t>
            </w:r>
          </w:p>
        </w:tc>
        <w:tc>
          <w:tcPr>
            <w:tcW w:w="1828"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Тема занятия (нескольких занятий)</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Кол-во часов</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Формы организации учебных занятий</w:t>
            </w:r>
          </w:p>
        </w:tc>
        <w:tc>
          <w:tcPr>
            <w:tcW w:w="229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Основные элементы содержания</w:t>
            </w:r>
          </w:p>
        </w:tc>
        <w:tc>
          <w:tcPr>
            <w:tcW w:w="199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Формируемые (развиваемые) элементы ПК</w:t>
            </w:r>
          </w:p>
        </w:tc>
      </w:tr>
      <w:tr>
        <w:trPr/>
        <w:tc>
          <w:tcPr>
            <w:tcW w:w="719"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color w:val="000000"/>
                <w:lang w:eastAsia="en-US"/>
              </w:rPr>
            </w:pPr>
            <w:r>
              <w:rPr>
                <w:rFonts w:eastAsia="Calibri"/>
                <w:color w:val="000000"/>
                <w:lang w:eastAsia="en-US"/>
              </w:rPr>
              <w:t>1</w:t>
            </w:r>
          </w:p>
          <w:p>
            <w:pPr>
              <w:pStyle w:val="Normal"/>
              <w:tabs>
                <w:tab w:val="clear" w:pos="708"/>
                <w:tab w:val="left" w:pos="7513" w:leader="none"/>
              </w:tabs>
              <w:jc w:val="both"/>
              <w:rPr>
                <w:rFonts w:eastAsia="Calibri"/>
                <w:color w:val="000000"/>
                <w:lang w:eastAsia="en-US"/>
              </w:rPr>
            </w:pPr>
            <w:r>
              <w:rPr>
                <w:rFonts w:eastAsia="Calibri"/>
                <w:color w:val="000000"/>
                <w:lang w:eastAsia="en-US"/>
              </w:rPr>
            </w:r>
          </w:p>
        </w:tc>
        <w:tc>
          <w:tcPr>
            <w:tcW w:w="1828" w:type="dxa"/>
            <w:vMerge w:val="restart"/>
            <w:tcBorders>
              <w:top w:val="single" w:sz="4" w:space="0" w:color="000000"/>
              <w:left w:val="single" w:sz="4" w:space="0" w:color="000000"/>
              <w:bottom w:val="single" w:sz="4" w:space="0" w:color="000000"/>
              <w:right w:val="single" w:sz="4" w:space="0" w:color="000000"/>
            </w:tcBorders>
          </w:tcPr>
          <w:p>
            <w:pPr>
              <w:pStyle w:val="Normal"/>
              <w:jc w:val="both"/>
              <w:rPr>
                <w:rFonts w:eastAsia="Calibri"/>
                <w:lang w:eastAsia="en-US"/>
              </w:rPr>
            </w:pPr>
            <w:r>
              <w:rPr>
                <w:rFonts w:eastAsia="Calibri"/>
                <w:lang w:eastAsia="en-US"/>
              </w:rPr>
              <w:t>Психофизиологические особенности детей с СДВГ</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6</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 xml:space="preserve">Лекция </w:t>
            </w:r>
          </w:p>
        </w:tc>
        <w:tc>
          <w:tcPr>
            <w:tcW w:w="229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lang w:eastAsia="en-US"/>
              </w:rPr>
            </w:pPr>
            <w:r>
              <w:rPr>
                <w:rFonts w:eastAsia="Calibri"/>
                <w:color w:val="000000"/>
                <w:lang w:eastAsia="en-US"/>
              </w:rPr>
              <w:t>Психофизиологические особенности детей с СДВГ, этиология и патогенез заболевания, обуславливающие трудности в обучении, поведении данной категории детей</w:t>
            </w:r>
          </w:p>
        </w:tc>
        <w:tc>
          <w:tcPr>
            <w:tcW w:w="1994" w:type="dxa"/>
            <w:tcBorders>
              <w:top w:val="single" w:sz="4" w:space="0" w:color="000000"/>
              <w:left w:val="single" w:sz="4" w:space="0" w:color="000000"/>
              <w:bottom w:val="single" w:sz="4" w:space="0" w:color="000000"/>
              <w:right w:val="single" w:sz="4" w:space="0" w:color="000000"/>
            </w:tcBorders>
          </w:tcPr>
          <w:p>
            <w:pPr>
              <w:pStyle w:val="Normal"/>
              <w:rPr/>
            </w:pPr>
            <w:r>
              <w:rPr>
                <w:rFonts w:eastAsia="Calibri"/>
                <w:b/>
                <w:lang w:eastAsia="en-US"/>
              </w:rPr>
              <w:t>(З) 2.1</w:t>
            </w:r>
            <w:r>
              <w:rPr>
                <w:rFonts w:eastAsia="Calibri"/>
                <w:lang w:eastAsia="en-US"/>
              </w:rPr>
              <w:t xml:space="preserve"> Психофизиологические особенности детей с СДВГ</w:t>
            </w:r>
          </w:p>
          <w:p>
            <w:pPr>
              <w:pStyle w:val="Normal"/>
              <w:rPr>
                <w:rFonts w:eastAsia="Calibri"/>
                <w:color w:val="000000"/>
                <w:lang w:eastAsia="en-US"/>
              </w:rPr>
            </w:pPr>
            <w:r>
              <w:rPr>
                <w:rFonts w:eastAsia="Calibri"/>
                <w:color w:val="000000"/>
                <w:lang w:eastAsia="en-US"/>
              </w:rPr>
            </w:r>
          </w:p>
        </w:tc>
      </w:tr>
      <w:tr>
        <w:trPr/>
        <w:tc>
          <w:tcPr>
            <w:tcW w:w="719"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both"/>
              <w:rPr>
                <w:rFonts w:ascii="Calibri" w:hAnsi="Calibri" w:eastAsia="Calibri" w:cs="Calibri"/>
                <w:color w:val="000000"/>
                <w:lang w:eastAsia="en-US"/>
              </w:rPr>
            </w:pPr>
            <w:r>
              <w:rPr>
                <w:rFonts w:eastAsia="Calibri" w:cs="Calibri" w:ascii="Calibri" w:hAnsi="Calibri"/>
                <w:color w:val="000000"/>
                <w:lang w:eastAsia="en-US"/>
              </w:rPr>
            </w:r>
          </w:p>
        </w:tc>
        <w:tc>
          <w:tcPr>
            <w:tcW w:w="1828"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rPr>
                <w:rFonts w:eastAsia="Calibri"/>
                <w:color w:val="000000"/>
                <w:lang w:eastAsia="en-US"/>
              </w:rPr>
            </w:pPr>
            <w:r>
              <w:rPr>
                <w:rFonts w:eastAsia="Calibri"/>
                <w:color w:val="000000"/>
                <w:lang w:eastAsia="en-US"/>
              </w:rPr>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12</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Практикум</w:t>
            </w:r>
          </w:p>
        </w:tc>
        <w:tc>
          <w:tcPr>
            <w:tcW w:w="229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20" w:leader="none"/>
                <w:tab w:val="left" w:pos="993" w:leader="none"/>
              </w:tabs>
              <w:jc w:val="both"/>
              <w:rPr>
                <w:rFonts w:eastAsia="Calibri"/>
                <w:lang w:eastAsia="en-US"/>
              </w:rPr>
            </w:pPr>
            <w:r>
              <w:rPr>
                <w:rFonts w:eastAsia="Calibri"/>
                <w:lang w:eastAsia="en-US"/>
              </w:rPr>
              <w:t xml:space="preserve">-Современные подходы к коррекции нарушенных когнитивных функций, эмоционально-волевой и мотивационной сферы. -Воспитательные стратегии, наиболее эффективные для работы с детьми с СДВГ. </w:t>
            </w:r>
          </w:p>
        </w:tc>
        <w:tc>
          <w:tcPr>
            <w:tcW w:w="1994"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b/>
                <w:b/>
                <w:color w:val="000000"/>
                <w:lang w:eastAsia="en-US"/>
              </w:rPr>
            </w:pPr>
            <w:r>
              <w:rPr>
                <w:rFonts w:eastAsia="Calibri"/>
                <w:b/>
                <w:lang w:eastAsia="en-US"/>
              </w:rPr>
              <w:t>(У) 2.1</w:t>
            </w:r>
            <w:r>
              <w:rPr>
                <w:rFonts w:eastAsia="Calibri"/>
                <w:lang w:eastAsia="en-US"/>
              </w:rPr>
              <w:t xml:space="preserve"> Осуществлять разработку (совместно с другими специалистами) и реализацию совместно с родителями (законными представителями) программ индивидуального развития ребенка с СДВГ</w:t>
            </w:r>
          </w:p>
        </w:tc>
      </w:tr>
      <w:tr>
        <w:trPr/>
        <w:tc>
          <w:tcPr>
            <w:tcW w:w="719"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color w:val="000000"/>
                <w:lang w:eastAsia="en-US"/>
              </w:rPr>
            </w:pPr>
            <w:r>
              <w:rPr>
                <w:rFonts w:eastAsia="Calibri"/>
                <w:color w:val="000000"/>
                <w:lang w:eastAsia="en-US"/>
              </w:rPr>
              <w:t>2</w:t>
            </w:r>
          </w:p>
        </w:tc>
        <w:tc>
          <w:tcPr>
            <w:tcW w:w="1828"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lang w:eastAsia="en-US"/>
              </w:rPr>
            </w:pPr>
            <w:r>
              <w:rPr>
                <w:rFonts w:eastAsia="Calibri"/>
                <w:lang w:eastAsia="en-US"/>
              </w:rPr>
              <w:t>Особенности личности и межличностных отношений детей с СДВГ</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6</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Лекция</w:t>
            </w:r>
          </w:p>
        </w:tc>
        <w:tc>
          <w:tcPr>
            <w:tcW w:w="229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color w:val="000000"/>
                <w:lang w:eastAsia="en-US"/>
              </w:rPr>
            </w:pPr>
            <w:r>
              <w:rPr>
                <w:rFonts w:eastAsia="Calibri"/>
                <w:color w:val="000000"/>
                <w:lang w:eastAsia="en-US"/>
              </w:rPr>
              <w:t>-Личностные особенности детей с СДВГ</w:t>
            </w:r>
          </w:p>
          <w:p>
            <w:pPr>
              <w:pStyle w:val="Normal"/>
              <w:tabs>
                <w:tab w:val="clear" w:pos="708"/>
                <w:tab w:val="left" w:pos="7513" w:leader="none"/>
              </w:tabs>
              <w:rPr>
                <w:rFonts w:eastAsia="Calibri"/>
                <w:lang w:eastAsia="en-US"/>
              </w:rPr>
            </w:pPr>
            <w:r>
              <w:rPr>
                <w:rFonts w:eastAsia="Calibri"/>
                <w:lang w:eastAsia="en-US"/>
              </w:rPr>
              <w:t>-Особенности межличностных отношений детей с СДВГ</w:t>
            </w:r>
          </w:p>
        </w:tc>
        <w:tc>
          <w:tcPr>
            <w:tcW w:w="1994" w:type="dxa"/>
            <w:tcBorders>
              <w:top w:val="single" w:sz="4" w:space="0" w:color="000000"/>
              <w:left w:val="single" w:sz="4" w:space="0" w:color="000000"/>
              <w:bottom w:val="single" w:sz="4" w:space="0" w:color="000000"/>
              <w:right w:val="single" w:sz="4" w:space="0" w:color="000000"/>
            </w:tcBorders>
          </w:tcPr>
          <w:p>
            <w:pPr>
              <w:pStyle w:val="Normal"/>
              <w:rPr/>
            </w:pPr>
            <w:r>
              <w:rPr>
                <w:rFonts w:eastAsia="Calibri"/>
                <w:b/>
                <w:lang w:eastAsia="en-US"/>
              </w:rPr>
              <w:t>(З) 2.2</w:t>
            </w:r>
            <w:r>
              <w:rPr>
                <w:rFonts w:eastAsia="Calibri"/>
                <w:lang w:eastAsia="en-US"/>
              </w:rPr>
              <w:t xml:space="preserve"> Особенности личности и межличностных отношений детей с СДВГ</w:t>
            </w:r>
          </w:p>
          <w:p>
            <w:pPr>
              <w:pStyle w:val="Normal"/>
              <w:rPr>
                <w:rFonts w:eastAsia="Calibri"/>
                <w:color w:val="000000"/>
                <w:lang w:eastAsia="en-US"/>
              </w:rPr>
            </w:pPr>
            <w:r>
              <w:rPr>
                <w:rFonts w:eastAsia="Calibri"/>
                <w:color w:val="000000"/>
                <w:lang w:eastAsia="en-US"/>
              </w:rPr>
            </w:r>
          </w:p>
        </w:tc>
      </w:tr>
      <w:tr>
        <w:trPr/>
        <w:tc>
          <w:tcPr>
            <w:tcW w:w="719"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both"/>
              <w:rPr>
                <w:rFonts w:ascii="Calibri" w:hAnsi="Calibri" w:eastAsia="Calibri" w:cs="Calibri"/>
                <w:color w:val="000000"/>
                <w:lang w:eastAsia="en-US"/>
              </w:rPr>
            </w:pPr>
            <w:r>
              <w:rPr>
                <w:rFonts w:eastAsia="Calibri" w:cs="Calibri" w:ascii="Calibri" w:hAnsi="Calibri"/>
                <w:color w:val="000000"/>
                <w:lang w:eastAsia="en-US"/>
              </w:rPr>
            </w:r>
          </w:p>
        </w:tc>
        <w:tc>
          <w:tcPr>
            <w:tcW w:w="1828"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rPr>
                <w:rFonts w:eastAsia="Calibri"/>
                <w:color w:val="000000"/>
                <w:lang w:eastAsia="en-US"/>
              </w:rPr>
            </w:pPr>
            <w:r>
              <w:rPr>
                <w:rFonts w:eastAsia="Calibri"/>
                <w:color w:val="000000"/>
                <w:lang w:eastAsia="en-US"/>
              </w:rPr>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rPr>
            </w:pPr>
            <w:r>
              <w:rPr>
                <w:color w:val="000000"/>
              </w:rPr>
              <w:t>12</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rPr>
            </w:pPr>
            <w:r>
              <w:rPr>
                <w:color w:val="000000"/>
              </w:rPr>
              <w:t>Практикум</w:t>
            </w:r>
          </w:p>
        </w:tc>
        <w:tc>
          <w:tcPr>
            <w:tcW w:w="2297"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color w:val="000000"/>
              </w:rPr>
            </w:pPr>
            <w:r>
              <w:rPr>
                <w:rFonts w:eastAsia="Calibri"/>
                <w:lang w:eastAsia="en-US"/>
              </w:rPr>
              <w:t>Диагностические инструменты, алгоритмы разработки и реализации индивидуального образовательного маршрута детей с СДВГ</w:t>
            </w:r>
          </w:p>
        </w:tc>
        <w:tc>
          <w:tcPr>
            <w:tcW w:w="1994" w:type="dxa"/>
            <w:tcBorders>
              <w:top w:val="single" w:sz="4" w:space="0" w:color="000000"/>
              <w:left w:val="single" w:sz="4" w:space="0" w:color="000000"/>
              <w:bottom w:val="single" w:sz="4" w:space="0" w:color="000000"/>
              <w:right w:val="single" w:sz="4" w:space="0" w:color="000000"/>
            </w:tcBorders>
          </w:tcPr>
          <w:p>
            <w:pPr>
              <w:pStyle w:val="Normal"/>
              <w:rPr>
                <w:rFonts w:eastAsia="Calibri"/>
                <w:color w:val="000000"/>
                <w:lang w:eastAsia="en-US"/>
              </w:rPr>
            </w:pPr>
            <w:r>
              <w:rPr>
                <w:rFonts w:eastAsia="Calibri"/>
                <w:b/>
                <w:lang w:eastAsia="en-US"/>
              </w:rPr>
              <w:t>(О) 2.1</w:t>
            </w:r>
            <w:r>
              <w:rPr>
                <w:rFonts w:eastAsia="Calibri"/>
                <w:lang w:eastAsia="en-US"/>
              </w:rPr>
              <w:t xml:space="preserve"> Владеть опытом разработки (совместно с другими специалистами) и реализации совместно с родителями (законными представителями) программ индивидуального развития ребенка с СДВГ</w:t>
            </w:r>
          </w:p>
        </w:tc>
      </w:tr>
    </w:tbl>
    <w:p>
      <w:pPr>
        <w:pStyle w:val="Normal"/>
        <w:tabs>
          <w:tab w:val="clear" w:pos="708"/>
          <w:tab w:val="left" w:pos="993" w:leader="none"/>
        </w:tabs>
        <w:ind w:firstLine="567"/>
        <w:jc w:val="both"/>
        <w:rPr/>
      </w:pPr>
      <w:r>
        <w:rPr>
          <w:b/>
          <w:i/>
          <w:color w:val="000000"/>
          <w:sz w:val="24"/>
          <w:szCs w:val="24"/>
        </w:rPr>
        <w:t xml:space="preserve">Вариативность в содержании и организации обучения в рамках данного учебного модуля </w:t>
      </w:r>
      <w:r>
        <w:rPr>
          <w:b/>
          <w:i/>
          <w:sz w:val="24"/>
          <w:szCs w:val="24"/>
        </w:rPr>
        <w:t xml:space="preserve">− </w:t>
      </w:r>
      <w:r>
        <w:rPr>
          <w:sz w:val="24"/>
          <w:szCs w:val="24"/>
        </w:rPr>
        <w:t xml:space="preserve">слушатель имеет право выбирать вариативность содержания, форм и методов работы </w:t>
      </w:r>
    </w:p>
    <w:p>
      <w:pPr>
        <w:pStyle w:val="Normal"/>
        <w:spacing w:before="0" w:after="0"/>
        <w:ind w:firstLine="567"/>
        <w:contextualSpacing/>
        <w:rPr>
          <w:rFonts w:eastAsia="Calibri"/>
          <w:b/>
          <w:b/>
          <w:i/>
          <w:i/>
          <w:color w:val="000000"/>
          <w:sz w:val="24"/>
          <w:szCs w:val="24"/>
        </w:rPr>
      </w:pPr>
      <w:r>
        <w:rPr>
          <w:rFonts w:eastAsia="Calibri"/>
          <w:b/>
          <w:i/>
          <w:color w:val="000000"/>
          <w:sz w:val="24"/>
          <w:szCs w:val="24"/>
        </w:rPr>
      </w:r>
    </w:p>
    <w:p>
      <w:pPr>
        <w:pStyle w:val="Normal"/>
        <w:ind w:firstLine="567"/>
        <w:rPr>
          <w:rFonts w:eastAsia="Calibri"/>
          <w:b/>
          <w:b/>
          <w:color w:val="000000"/>
          <w:sz w:val="24"/>
          <w:szCs w:val="24"/>
          <w:lang w:eastAsia="en-US"/>
        </w:rPr>
      </w:pPr>
      <w:r>
        <w:rPr>
          <w:rFonts w:eastAsia="Calibri"/>
          <w:b/>
          <w:i/>
          <w:color w:val="000000"/>
          <w:sz w:val="24"/>
          <w:szCs w:val="24"/>
          <w:lang w:eastAsia="en-US"/>
        </w:rPr>
        <w:t>Паспорт оценочных средств для осуществления текущего контроля</w:t>
      </w:r>
      <w:r>
        <w:rPr>
          <w:rFonts w:eastAsia="Calibri"/>
          <w:i/>
          <w:color w:val="000000"/>
          <w:sz w:val="24"/>
          <w:szCs w:val="24"/>
          <w:lang w:eastAsia="en-US"/>
        </w:rPr>
        <w:t>:</w:t>
      </w:r>
    </w:p>
    <w:p>
      <w:pPr>
        <w:pStyle w:val="Normal"/>
        <w:ind w:firstLine="567"/>
        <w:rPr>
          <w:rFonts w:eastAsia="Calibri"/>
        </w:rPr>
      </w:pPr>
      <w:r>
        <w:rPr>
          <w:rFonts w:eastAsia="Times New Roman"/>
          <w:b/>
          <w:color w:val="000000"/>
          <w:sz w:val="24"/>
          <w:szCs w:val="24"/>
          <w:lang w:eastAsia="en-US"/>
        </w:rPr>
        <w:t xml:space="preserve">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center"/>
        <w:rPr>
          <w:rFonts w:eastAsia="Calibri"/>
          <w:color w:val="000000"/>
          <w:sz w:val="24"/>
          <w:szCs w:val="24"/>
          <w:lang w:eastAsia="en-US"/>
        </w:rPr>
      </w:pPr>
      <w:r>
        <w:rPr>
          <w:rFonts w:eastAsia="Calibri"/>
          <w:color w:val="000000"/>
          <w:sz w:val="24"/>
          <w:szCs w:val="24"/>
          <w:lang w:eastAsia="en-US"/>
        </w:rPr>
        <w:t>ОЦЕНОЧНЫЕ МАТЕРИАЛЫ</w:t>
      </w:r>
    </w:p>
    <w:p>
      <w:pPr>
        <w:pStyle w:val="Normal"/>
        <w:ind w:firstLine="567"/>
        <w:jc w:val="both"/>
        <w:rPr/>
      </w:pPr>
      <w:r>
        <w:rPr>
          <w:rFonts w:eastAsia="Calibri"/>
          <w:sz w:val="24"/>
          <w:szCs w:val="24"/>
          <w:lang w:eastAsia="en-US"/>
        </w:rPr>
        <w:t>Текущий контроль по модулю 2. «</w:t>
      </w:r>
      <w:r>
        <w:rPr>
          <w:sz w:val="24"/>
          <w:szCs w:val="24"/>
        </w:rPr>
        <w:t>Научно-теоретические подходы к обучению и воспитанию детей с СДВГ</w:t>
      </w:r>
      <w:r>
        <w:rPr>
          <w:rFonts w:eastAsia="Calibri"/>
          <w:sz w:val="24"/>
          <w:szCs w:val="24"/>
          <w:lang w:eastAsia="en-US"/>
        </w:rPr>
        <w:t>» проводится в форме устного экзамена.</w:t>
      </w:r>
    </w:p>
    <w:p>
      <w:pPr>
        <w:pStyle w:val="Normal"/>
        <w:shd w:fill="FFFFFF" w:val="clear"/>
        <w:tabs>
          <w:tab w:val="clear" w:pos="708"/>
          <w:tab w:val="left" w:pos="916" w:leader="none"/>
          <w:tab w:val="left" w:pos="993"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both"/>
        <w:rPr>
          <w:rFonts w:eastAsia="Calibri"/>
          <w:sz w:val="24"/>
          <w:szCs w:val="24"/>
          <w:lang w:eastAsia="en-US"/>
        </w:rPr>
      </w:pPr>
      <w:r>
        <w:rPr>
          <w:rFonts w:eastAsia="Calibri"/>
          <w:sz w:val="24"/>
          <w:szCs w:val="24"/>
          <w:lang w:eastAsia="en-US"/>
        </w:rPr>
        <w:t>Устный экзамен представляет собой методический семинар, предполагающий устное выступление слушателей, которые предоставляют и защищают методические материалы по разработке и реализации программ индивидуального развития ребенка с СДВГ</w:t>
      </w:r>
    </w:p>
    <w:p>
      <w:pPr>
        <w:pStyle w:val="Normal"/>
        <w:tabs>
          <w:tab w:val="clear" w:pos="708"/>
          <w:tab w:val="left" w:pos="993" w:leader="none"/>
        </w:tabs>
        <w:spacing w:before="0" w:after="0"/>
        <w:ind w:firstLine="567"/>
        <w:contextualSpacing/>
        <w:jc w:val="both"/>
        <w:rPr>
          <w:rFonts w:eastAsia="Calibri"/>
          <w:sz w:val="24"/>
          <w:szCs w:val="24"/>
        </w:rPr>
      </w:pPr>
      <w:r>
        <w:rPr>
          <w:rFonts w:eastAsia="Calibri"/>
          <w:sz w:val="24"/>
          <w:szCs w:val="24"/>
        </w:rPr>
        <w:t>Текущий контроль в форме устного экзамена является дифференцированным и подразумевает выставление оценки в категориях «отлично», «хорошо», «удовлетворительно» и «неудовлетворительно».</w:t>
      </w:r>
    </w:p>
    <w:p>
      <w:pPr>
        <w:pStyle w:val="Normal"/>
        <w:ind w:firstLine="567"/>
        <w:jc w:val="both"/>
        <w:rPr>
          <w:rFonts w:eastAsia="Calibri"/>
          <w:sz w:val="24"/>
          <w:szCs w:val="24"/>
          <w:lang w:eastAsia="en-US"/>
        </w:rPr>
      </w:pPr>
      <w:r>
        <w:rPr>
          <w:rFonts w:eastAsia="Calibri"/>
          <w:sz w:val="24"/>
          <w:szCs w:val="24"/>
          <w:lang w:eastAsia="en-US"/>
        </w:rPr>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center"/>
        <w:rPr>
          <w:rFonts w:eastAsia="Calibri"/>
          <w:color w:val="000000"/>
          <w:sz w:val="24"/>
          <w:szCs w:val="24"/>
          <w:lang w:eastAsia="en-US"/>
        </w:rPr>
      </w:pPr>
      <w:r>
        <w:rPr>
          <w:rFonts w:eastAsia="Calibri"/>
          <w:color w:val="000000"/>
          <w:sz w:val="24"/>
          <w:szCs w:val="24"/>
          <w:lang w:eastAsia="en-US"/>
        </w:rPr>
        <w:t>ПАСПОРТ ОЦЕНОЧНОГО СРЕДСТВА</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center"/>
        <w:rPr>
          <w:rFonts w:eastAsia="Calibri"/>
          <w:color w:val="000000"/>
          <w:sz w:val="24"/>
          <w:szCs w:val="24"/>
          <w:lang w:eastAsia="en-US"/>
        </w:rPr>
      </w:pPr>
      <w:r>
        <w:rPr>
          <w:rFonts w:eastAsia="Calibri"/>
          <w:color w:val="000000"/>
          <w:sz w:val="24"/>
          <w:szCs w:val="24"/>
          <w:lang w:eastAsia="en-US"/>
        </w:rPr>
        <w:t>УСТНЫЙ ЭКЗАМЕН</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both"/>
        <w:rPr>
          <w:rFonts w:eastAsia="Calibri"/>
          <w:color w:val="000000"/>
          <w:sz w:val="24"/>
          <w:szCs w:val="24"/>
          <w:lang w:eastAsia="en-US"/>
        </w:rPr>
      </w:pPr>
      <w:r>
        <w:rPr>
          <w:rFonts w:eastAsia="Calibri"/>
          <w:color w:val="000000"/>
          <w:sz w:val="24"/>
          <w:szCs w:val="24"/>
          <w:lang w:eastAsia="en-US"/>
        </w:rPr>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both"/>
        <w:rPr>
          <w:rFonts w:eastAsia="Calibri"/>
          <w:sz w:val="24"/>
          <w:szCs w:val="24"/>
          <w:lang w:eastAsia="en-US"/>
        </w:rPr>
      </w:pPr>
      <w:r>
        <w:rPr>
          <w:rFonts w:eastAsia="Calibri"/>
          <w:sz w:val="24"/>
          <w:szCs w:val="24"/>
          <w:lang w:eastAsia="en-US"/>
        </w:rPr>
        <w:t>Представление методической разработки может сопровождаться показом презентации, которая выполняется слушателем в формате POWER POINT, содержит технологическое и научно-теоретическое обоснование разработанного материала.</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jc w:val="both"/>
        <w:rPr>
          <w:rFonts w:eastAsia="Calibri"/>
          <w:color w:val="000000"/>
          <w:sz w:val="24"/>
          <w:szCs w:val="24"/>
          <w:lang w:eastAsia="en-US"/>
        </w:rPr>
      </w:pPr>
      <w:r>
        <w:rPr>
          <w:rFonts w:eastAsia="Calibri"/>
          <w:color w:val="000000"/>
          <w:sz w:val="24"/>
          <w:szCs w:val="24"/>
          <w:lang w:eastAsia="en-US"/>
        </w:rPr>
        <w:t xml:space="preserve">Текст типового задания: </w:t>
      </w:r>
    </w:p>
    <w:p>
      <w:pPr>
        <w:pStyle w:val="Normal"/>
        <w:numPr>
          <w:ilvl w:val="0"/>
          <w:numId w:val="7"/>
        </w:numPr>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ind w:left="0" w:hanging="0"/>
        <w:contextualSpacing/>
        <w:jc w:val="both"/>
        <w:rPr>
          <w:rFonts w:eastAsia="Calibri"/>
          <w:color w:val="000000"/>
          <w:sz w:val="24"/>
          <w:szCs w:val="24"/>
        </w:rPr>
      </w:pPr>
      <w:r>
        <w:rPr>
          <w:rFonts w:eastAsia="Calibri"/>
          <w:color w:val="000000"/>
          <w:sz w:val="24"/>
          <w:szCs w:val="24"/>
        </w:rPr>
        <w:t xml:space="preserve">Психофизиологические особенности детей с СДВГ, этиология и патогенез заболевания </w:t>
      </w:r>
    </w:p>
    <w:p>
      <w:pPr>
        <w:pStyle w:val="Normal"/>
        <w:numPr>
          <w:ilvl w:val="0"/>
          <w:numId w:val="7"/>
        </w:numPr>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ind w:left="0" w:hanging="0"/>
        <w:contextualSpacing/>
        <w:jc w:val="both"/>
        <w:rPr/>
      </w:pPr>
      <w:r>
        <w:rPr>
          <w:rFonts w:eastAsia="Calibri"/>
          <w:sz w:val="24"/>
          <w:szCs w:val="24"/>
        </w:rPr>
        <w:t>Алгоритм разработки и реализации индивидуального образовательного маршрута детей с СДВГ</w:t>
      </w:r>
      <w:r>
        <w:rPr>
          <w:rFonts w:eastAsia="Calibri"/>
          <w:color w:val="000000"/>
          <w:sz w:val="24"/>
          <w:szCs w:val="24"/>
        </w:rPr>
        <w:t xml:space="preserve"> </w:t>
      </w:r>
    </w:p>
    <w:p>
      <w:pPr>
        <w:pStyle w:val="Normal"/>
        <w:numPr>
          <w:ilvl w:val="0"/>
          <w:numId w:val="7"/>
        </w:numPr>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ind w:left="0" w:hanging="0"/>
        <w:contextualSpacing/>
        <w:jc w:val="both"/>
        <w:rPr>
          <w:rFonts w:eastAsia="Calibri"/>
          <w:color w:val="000000"/>
          <w:sz w:val="24"/>
          <w:szCs w:val="24"/>
        </w:rPr>
      </w:pPr>
      <w:r>
        <w:rPr>
          <w:rFonts w:eastAsia="Calibri"/>
          <w:color w:val="000000"/>
          <w:sz w:val="24"/>
          <w:szCs w:val="24"/>
        </w:rPr>
        <w:t>Современные подходы к коррекции нарушенных когнитивных функций детей с СДВГ</w:t>
      </w:r>
    </w:p>
    <w:tbl>
      <w:tblPr>
        <w:tblW w:w="9530" w:type="dxa"/>
        <w:jc w:val="left"/>
        <w:tblInd w:w="-94" w:type="dxa"/>
        <w:tblLayout w:type="fixed"/>
        <w:tblCellMar>
          <w:top w:w="140" w:type="dxa"/>
          <w:left w:w="80" w:type="dxa"/>
          <w:bottom w:w="140" w:type="dxa"/>
          <w:right w:w="80" w:type="dxa"/>
        </w:tblCellMar>
      </w:tblPr>
      <w:tblGrid>
        <w:gridCol w:w="2432"/>
        <w:gridCol w:w="2184"/>
        <w:gridCol w:w="2552"/>
        <w:gridCol w:w="2362"/>
      </w:tblGrid>
      <w:tr>
        <w:trPr>
          <w:trHeight w:val="300" w:hRule="atLeast"/>
        </w:trPr>
        <w:tc>
          <w:tcPr>
            <w:tcW w:w="2432"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 xml:space="preserve">Предмет(ы) </w:t>
            </w:r>
          </w:p>
          <w:p>
            <w:pPr>
              <w:pStyle w:val="Normal"/>
              <w:jc w:val="center"/>
              <w:rPr>
                <w:rFonts w:eastAsia="Calibri"/>
                <w:color w:val="000000"/>
                <w:lang w:eastAsia="en-US"/>
              </w:rPr>
            </w:pPr>
            <w:r>
              <w:rPr>
                <w:rFonts w:eastAsia="Calibri"/>
                <w:color w:val="000000"/>
                <w:lang w:eastAsia="en-US"/>
              </w:rPr>
              <w:t>оценивания</w:t>
            </w:r>
          </w:p>
        </w:tc>
        <w:tc>
          <w:tcPr>
            <w:tcW w:w="2184"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 xml:space="preserve">Объект(ы) </w:t>
            </w:r>
          </w:p>
          <w:p>
            <w:pPr>
              <w:pStyle w:val="Normal"/>
              <w:jc w:val="center"/>
              <w:rPr>
                <w:rFonts w:eastAsia="Calibri"/>
                <w:color w:val="000000"/>
                <w:lang w:eastAsia="en-US"/>
              </w:rPr>
            </w:pPr>
            <w:r>
              <w:rPr>
                <w:rFonts w:eastAsia="Calibri"/>
                <w:color w:val="000000"/>
                <w:lang w:eastAsia="en-US"/>
              </w:rPr>
              <w:t>оценивания</w:t>
            </w:r>
          </w:p>
        </w:tc>
        <w:tc>
          <w:tcPr>
            <w:tcW w:w="2552"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Критерии оценки</w:t>
            </w:r>
          </w:p>
        </w:tc>
        <w:tc>
          <w:tcPr>
            <w:tcW w:w="2362"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Показатели оценки</w:t>
            </w:r>
          </w:p>
        </w:tc>
      </w:tr>
      <w:tr>
        <w:trPr>
          <w:trHeight w:val="300" w:hRule="atLeast"/>
        </w:trPr>
        <w:tc>
          <w:tcPr>
            <w:tcW w:w="2432"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lang w:eastAsia="en-US"/>
              </w:rPr>
              <w:t>Готовность осуществлять разработку (совместно с другими специалистами) и реализацию совместно с родителями (законными представителями) программ индивидуального развития ребенка</w:t>
            </w:r>
          </w:p>
        </w:tc>
        <w:tc>
          <w:tcPr>
            <w:tcW w:w="2184"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color w:val="000000"/>
                <w:lang w:eastAsia="en-US"/>
              </w:rPr>
              <w:t>Устное выступление (содержание выступления, ответы на дополнительные вопросы)</w:t>
            </w:r>
          </w:p>
        </w:tc>
        <w:tc>
          <w:tcPr>
            <w:tcW w:w="2552" w:type="dxa"/>
            <w:tcBorders>
              <w:top w:val="single" w:sz="6" w:space="0" w:color="000000"/>
              <w:left w:val="single" w:sz="6" w:space="0" w:color="000000"/>
              <w:bottom w:val="single" w:sz="6" w:space="0" w:color="000000"/>
              <w:right w:val="single" w:sz="6" w:space="0" w:color="000000"/>
            </w:tcBorders>
          </w:tcPr>
          <w:p>
            <w:pPr>
              <w:pStyle w:val="Normal"/>
              <w:numPr>
                <w:ilvl w:val="0"/>
                <w:numId w:val="18"/>
              </w:numPr>
              <w:tabs>
                <w:tab w:val="clear" w:pos="708"/>
                <w:tab w:val="left" w:pos="360" w:leader="none"/>
              </w:tabs>
              <w:ind w:left="0" w:hanging="0"/>
              <w:rPr>
                <w:rFonts w:eastAsia="Calibri"/>
                <w:color w:val="000000"/>
                <w:lang w:eastAsia="en-US"/>
              </w:rPr>
            </w:pPr>
            <w:r>
              <w:rPr>
                <w:rFonts w:eastAsia="Calibri"/>
                <w:color w:val="000000"/>
                <w:lang w:eastAsia="en-US"/>
              </w:rPr>
              <w:t>Методические материалы разработаны с опорой на современные представления о психофизиологических особенностях детей с СДВГ</w:t>
            </w:r>
          </w:p>
          <w:p>
            <w:pPr>
              <w:pStyle w:val="Normal"/>
              <w:numPr>
                <w:ilvl w:val="0"/>
                <w:numId w:val="18"/>
              </w:numPr>
              <w:tabs>
                <w:tab w:val="clear" w:pos="708"/>
                <w:tab w:val="left" w:pos="360" w:leader="none"/>
              </w:tabs>
              <w:ind w:left="0" w:hanging="0"/>
              <w:rPr/>
            </w:pPr>
            <w:r>
              <w:rPr>
                <w:rFonts w:eastAsia="Calibri"/>
                <w:color w:val="000000"/>
                <w:lang w:eastAsia="en-US"/>
              </w:rPr>
              <w:t xml:space="preserve">В методических материалах обозначена </w:t>
            </w:r>
            <w:r>
              <w:rPr>
                <w:rFonts w:eastAsia="Calibri"/>
                <w:lang w:eastAsia="en-US"/>
              </w:rPr>
              <w:t>цель, способствующая преодолению синдрома дефицита внимания и гиперактивности у обучающихся в образовательном процессе</w:t>
            </w:r>
          </w:p>
          <w:p>
            <w:pPr>
              <w:pStyle w:val="Normal"/>
              <w:tabs>
                <w:tab w:val="clear" w:pos="708"/>
                <w:tab w:val="left" w:pos="360" w:leader="none"/>
              </w:tabs>
              <w:rPr>
                <w:rFonts w:eastAsia="Calibri"/>
                <w:lang w:eastAsia="en-US"/>
              </w:rPr>
            </w:pPr>
            <w:r>
              <w:rPr>
                <w:rFonts w:eastAsia="Calibri"/>
                <w:lang w:eastAsia="en-US"/>
              </w:rPr>
              <w:t xml:space="preserve">2. Обоснована связь поставленной цели с ожидаемыми коррекционно-развивающими эффектами </w:t>
            </w:r>
          </w:p>
          <w:p>
            <w:pPr>
              <w:pStyle w:val="Normal"/>
              <w:rPr/>
            </w:pPr>
            <w:r>
              <w:rPr>
                <w:rFonts w:eastAsia="Calibri"/>
                <w:lang w:eastAsia="en-US"/>
              </w:rPr>
              <w:t>3.</w:t>
            </w:r>
            <w:r>
              <w:rPr>
                <w:rFonts w:eastAsia="Calibri"/>
                <w:color w:val="000000"/>
                <w:lang w:eastAsia="en-US"/>
              </w:rPr>
              <w:t>В ходе устного ответа слушатель демонстрирует высокую речевую культуру, знание терминологии по теме модуля</w:t>
            </w:r>
          </w:p>
        </w:tc>
        <w:tc>
          <w:tcPr>
            <w:tcW w:w="2362"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color w:val="000000"/>
                <w:lang w:eastAsia="en-US"/>
              </w:rPr>
              <w:t xml:space="preserve">«Отлично» - полностью соответствует критериям </w:t>
            </w:r>
          </w:p>
          <w:p>
            <w:pPr>
              <w:pStyle w:val="Normal"/>
              <w:rPr>
                <w:rFonts w:eastAsia="Calibri"/>
                <w:color w:val="000000"/>
                <w:lang w:eastAsia="en-US"/>
              </w:rPr>
            </w:pPr>
            <w:r>
              <w:rPr>
                <w:rFonts w:eastAsia="Calibri"/>
                <w:color w:val="000000"/>
                <w:lang w:eastAsia="en-US"/>
              </w:rPr>
              <w:t>«Хорошо» - частично соответствует критериям</w:t>
            </w:r>
          </w:p>
          <w:p>
            <w:pPr>
              <w:pStyle w:val="Normal"/>
              <w:rPr>
                <w:rFonts w:eastAsia="Calibri"/>
                <w:color w:val="000000"/>
                <w:lang w:eastAsia="en-US"/>
              </w:rPr>
            </w:pPr>
            <w:r>
              <w:rPr>
                <w:rFonts w:eastAsia="Calibri"/>
                <w:color w:val="000000"/>
                <w:lang w:eastAsia="en-US"/>
              </w:rPr>
              <w:t>«Удовлетворительно» - не соответствует критериям</w:t>
            </w:r>
          </w:p>
          <w:p>
            <w:pPr>
              <w:pStyle w:val="Normal"/>
              <w:rPr>
                <w:rFonts w:eastAsia="Calibri"/>
                <w:color w:val="000000"/>
                <w:lang w:eastAsia="en-US"/>
              </w:rPr>
            </w:pPr>
            <w:r>
              <w:rPr>
                <w:rFonts w:eastAsia="Calibri"/>
                <w:color w:val="000000"/>
                <w:lang w:eastAsia="en-US"/>
              </w:rPr>
              <w:t>«Неудовлетворительно» - ответ не представлен</w:t>
            </w:r>
          </w:p>
        </w:tc>
      </w:tr>
    </w:tbl>
    <w:p>
      <w:pPr>
        <w:pStyle w:val="Normal"/>
        <w:jc w:val="both"/>
        <w:rPr>
          <w:i/>
          <w:i/>
          <w:sz w:val="24"/>
          <w:szCs w:val="24"/>
        </w:rPr>
      </w:pPr>
      <w:r>
        <w:rPr>
          <w:i/>
          <w:sz w:val="24"/>
          <w:szCs w:val="24"/>
        </w:rPr>
      </w:r>
    </w:p>
    <w:p>
      <w:pPr>
        <w:pStyle w:val="Normal"/>
        <w:ind w:firstLine="567"/>
        <w:jc w:val="both"/>
        <w:rPr/>
      </w:pPr>
      <w:r>
        <w:rPr>
          <w:b/>
          <w:sz w:val="24"/>
          <w:szCs w:val="24"/>
        </w:rPr>
        <w:t xml:space="preserve">Модуль 3. </w:t>
      </w:r>
      <w:r>
        <w:rPr>
          <w:rFonts w:eastAsia="Calibri"/>
          <w:b/>
          <w:sz w:val="24"/>
          <w:szCs w:val="24"/>
          <w:lang w:eastAsia="en-US"/>
        </w:rPr>
        <w:t>«</w:t>
      </w:r>
      <w:r>
        <w:rPr>
          <w:b/>
          <w:sz w:val="24"/>
          <w:szCs w:val="24"/>
        </w:rPr>
        <w:t>Технологии п</w:t>
      </w:r>
      <w:r>
        <w:rPr>
          <w:rFonts w:eastAsia="Calibri"/>
          <w:b/>
          <w:sz w:val="24"/>
          <w:szCs w:val="24"/>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w:t>
      </w:r>
    </w:p>
    <w:p>
      <w:pPr>
        <w:pStyle w:val="Normal"/>
        <w:jc w:val="both"/>
        <w:rPr>
          <w:rFonts w:eastAsia="Calibri"/>
          <w:b/>
          <w:b/>
          <w:i/>
          <w:i/>
          <w:sz w:val="24"/>
          <w:szCs w:val="24"/>
          <w:lang w:eastAsia="en-US"/>
        </w:rPr>
      </w:pPr>
      <w:r>
        <w:rPr>
          <w:rFonts w:eastAsia="Calibri"/>
          <w:b/>
          <w:i/>
          <w:sz w:val="24"/>
          <w:szCs w:val="24"/>
          <w:lang w:eastAsia="en-US"/>
        </w:rPr>
      </w:r>
    </w:p>
    <w:p>
      <w:pPr>
        <w:pStyle w:val="Normal"/>
        <w:rPr/>
      </w:pPr>
      <w:r>
        <w:rPr/>
        <w:t>Планируемые результаты обучения (декомпозиция компетенций, формируемых в рамках данной рабочей программы):</w:t>
      </w:r>
    </w:p>
    <w:tbl>
      <w:tblPr>
        <w:tblW w:w="9451" w:type="dxa"/>
        <w:jc w:val="left"/>
        <w:tblInd w:w="-94" w:type="dxa"/>
        <w:tblLayout w:type="fixed"/>
        <w:tblCellMar>
          <w:top w:w="140" w:type="dxa"/>
          <w:left w:w="80" w:type="dxa"/>
          <w:bottom w:w="140" w:type="dxa"/>
          <w:right w:w="80" w:type="dxa"/>
        </w:tblCellMar>
      </w:tblPr>
      <w:tblGrid>
        <w:gridCol w:w="2317"/>
        <w:gridCol w:w="2195"/>
        <w:gridCol w:w="2195"/>
        <w:gridCol w:w="2744"/>
      </w:tblGrid>
      <w:tr>
        <w:trPr>
          <w:trHeight w:val="300" w:hRule="atLeast"/>
        </w:trPr>
        <w:tc>
          <w:tcPr>
            <w:tcW w:w="2317" w:type="dxa"/>
            <w:tcBorders>
              <w:top w:val="single" w:sz="6" w:space="0" w:color="000000"/>
              <w:left w:val="single" w:sz="6" w:space="0" w:color="000000"/>
              <w:bottom w:val="single" w:sz="6" w:space="0" w:color="000000"/>
              <w:right w:val="single" w:sz="6" w:space="0" w:color="000000"/>
            </w:tcBorders>
          </w:tcPr>
          <w:p>
            <w:pPr>
              <w:pStyle w:val="Normal"/>
              <w:ind w:hanging="30"/>
              <w:jc w:val="center"/>
              <w:rPr>
                <w:rFonts w:eastAsia="Calibri"/>
                <w:color w:val="000000"/>
                <w:lang w:eastAsia="en-US"/>
              </w:rPr>
            </w:pPr>
            <w:r>
              <w:rPr>
                <w:rFonts w:eastAsia="Calibri"/>
                <w:color w:val="000000"/>
                <w:lang w:eastAsia="en-US"/>
              </w:rPr>
              <w:t>Задача профессиональной деятельности:</w:t>
            </w:r>
          </w:p>
        </w:tc>
        <w:tc>
          <w:tcPr>
            <w:tcW w:w="7134" w:type="dxa"/>
            <w:gridSpan w:val="3"/>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lang w:eastAsia="en-US"/>
              </w:rPr>
              <w:t>Освоение и применение психолого-педагогических технологий (в том числе инклюзивных), необходимых для адресной работы с детьми с особыми образовательными потребностями (дети с синдромом дефицита внимания и гиперактивностью)</w:t>
            </w:r>
          </w:p>
        </w:tc>
      </w:tr>
      <w:tr>
        <w:trPr>
          <w:trHeight w:val="300" w:hRule="atLeast"/>
        </w:trPr>
        <w:tc>
          <w:tcPr>
            <w:tcW w:w="2317" w:type="dxa"/>
            <w:tcBorders>
              <w:top w:val="single" w:sz="6" w:space="0" w:color="000000"/>
              <w:left w:val="single" w:sz="6" w:space="0" w:color="000000"/>
              <w:bottom w:val="single" w:sz="6" w:space="0" w:color="000000"/>
              <w:right w:val="single" w:sz="6" w:space="0" w:color="000000"/>
            </w:tcBorders>
          </w:tcPr>
          <w:p>
            <w:pPr>
              <w:pStyle w:val="Normal"/>
              <w:ind w:hanging="30"/>
              <w:jc w:val="center"/>
              <w:rPr>
                <w:rFonts w:eastAsia="Calibri"/>
                <w:color w:val="000000"/>
                <w:lang w:eastAsia="en-US"/>
              </w:rPr>
            </w:pPr>
            <w:r>
              <w:rPr>
                <w:rFonts w:eastAsia="Calibri"/>
                <w:color w:val="000000"/>
                <w:lang w:eastAsia="en-US"/>
              </w:rPr>
              <w:t>Профессиональные компетенции (ПК)</w:t>
            </w:r>
          </w:p>
        </w:tc>
        <w:tc>
          <w:tcPr>
            <w:tcW w:w="2195" w:type="dxa"/>
            <w:tcBorders>
              <w:top w:val="single" w:sz="6" w:space="0" w:color="000000"/>
              <w:left w:val="single" w:sz="6" w:space="0" w:color="000000"/>
              <w:bottom w:val="single" w:sz="6" w:space="0" w:color="000000"/>
              <w:right w:val="single" w:sz="6" w:space="0" w:color="000000"/>
            </w:tcBorders>
          </w:tcPr>
          <w:p>
            <w:pPr>
              <w:pStyle w:val="Normal"/>
              <w:ind w:hanging="17"/>
              <w:jc w:val="center"/>
              <w:rPr>
                <w:rFonts w:eastAsia="Calibri"/>
                <w:color w:val="000000"/>
                <w:lang w:eastAsia="en-US"/>
              </w:rPr>
            </w:pPr>
            <w:r>
              <w:rPr>
                <w:rFonts w:eastAsia="Calibri"/>
                <w:color w:val="000000"/>
                <w:lang w:eastAsia="en-US"/>
              </w:rPr>
              <w:t>Слушатель должен знать (З):</w:t>
            </w:r>
          </w:p>
        </w:tc>
        <w:tc>
          <w:tcPr>
            <w:tcW w:w="2195" w:type="dxa"/>
            <w:tcBorders>
              <w:top w:val="single" w:sz="6" w:space="0" w:color="000000"/>
              <w:left w:val="single" w:sz="6" w:space="0" w:color="000000"/>
              <w:bottom w:val="single" w:sz="6" w:space="0" w:color="000000"/>
              <w:right w:val="single" w:sz="6" w:space="0" w:color="000000"/>
            </w:tcBorders>
          </w:tcPr>
          <w:p>
            <w:pPr>
              <w:pStyle w:val="Normal"/>
              <w:ind w:hanging="11"/>
              <w:jc w:val="center"/>
              <w:rPr>
                <w:rFonts w:eastAsia="Calibri"/>
                <w:color w:val="000000"/>
                <w:lang w:eastAsia="en-US"/>
              </w:rPr>
            </w:pPr>
            <w:r>
              <w:rPr>
                <w:rFonts w:eastAsia="Calibri"/>
                <w:color w:val="000000"/>
                <w:lang w:eastAsia="en-US"/>
              </w:rPr>
              <w:t>Слушатель должен уметь (У):</w:t>
            </w:r>
          </w:p>
        </w:tc>
        <w:tc>
          <w:tcPr>
            <w:tcW w:w="27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pPr>
              <w:pStyle w:val="Normal"/>
              <w:jc w:val="center"/>
              <w:rPr>
                <w:rFonts w:eastAsia="Calibri"/>
                <w:color w:val="FF0000"/>
                <w:lang w:eastAsia="en-US"/>
              </w:rPr>
            </w:pPr>
            <w:r>
              <w:rPr>
                <w:rFonts w:eastAsia="Calibri"/>
                <w:color w:val="000000"/>
                <w:lang w:eastAsia="en-US"/>
              </w:rPr>
              <w:t xml:space="preserve">Слушатель должен </w:t>
            </w:r>
            <w:r>
              <w:rPr>
                <w:rFonts w:eastAsia="Calibri"/>
                <w:lang w:eastAsia="en-US"/>
              </w:rPr>
              <w:t>владеть (приобрести опыт деятельности) (О):</w:t>
            </w:r>
          </w:p>
        </w:tc>
      </w:tr>
      <w:tr>
        <w:trPr>
          <w:trHeight w:val="300" w:hRule="atLeast"/>
        </w:trPr>
        <w:tc>
          <w:tcPr>
            <w:tcW w:w="2317" w:type="dxa"/>
            <w:tcBorders>
              <w:top w:val="single" w:sz="6" w:space="0" w:color="000000"/>
              <w:left w:val="single" w:sz="6" w:space="0" w:color="000000"/>
              <w:bottom w:val="single" w:sz="6" w:space="0" w:color="000000"/>
              <w:right w:val="single" w:sz="6" w:space="0" w:color="000000"/>
            </w:tcBorders>
          </w:tcPr>
          <w:p>
            <w:pPr>
              <w:pStyle w:val="Normal"/>
              <w:spacing w:before="0" w:after="0"/>
              <w:ind w:left="80" w:right="139" w:firstLine="142"/>
              <w:contextualSpacing/>
              <w:rPr>
                <w:rFonts w:eastAsia="Calibri"/>
                <w:color w:val="000000"/>
              </w:rPr>
            </w:pPr>
            <w:r>
              <w:rPr>
                <w:rFonts w:eastAsia="Calibri"/>
              </w:rPr>
              <w:t>Готовность применять психолого-педагогические технологии (в том числе инклюзивные), необходимых для адресной работы с детьми с особыми образовательными потребностями (дети с синдромом дефицита внимания и гиперактивностью)</w:t>
            </w:r>
          </w:p>
        </w:tc>
        <w:tc>
          <w:tcPr>
            <w:tcW w:w="2195" w:type="dxa"/>
            <w:tcBorders>
              <w:top w:val="single" w:sz="6" w:space="0" w:color="000000"/>
              <w:left w:val="single" w:sz="6" w:space="0" w:color="000000"/>
              <w:bottom w:val="single" w:sz="6" w:space="0" w:color="000000"/>
              <w:right w:val="single" w:sz="6" w:space="0" w:color="000000"/>
            </w:tcBorders>
          </w:tcPr>
          <w:p>
            <w:pPr>
              <w:pStyle w:val="Normal"/>
              <w:rPr/>
            </w:pPr>
            <w:r>
              <w:rPr>
                <w:rFonts w:eastAsia="Calibri"/>
                <w:b/>
                <w:lang w:eastAsia="en-US"/>
              </w:rPr>
              <w:t>(З) 3.1</w:t>
            </w:r>
            <w:r>
              <w:rPr>
                <w:rFonts w:eastAsia="Calibri"/>
                <w:lang w:eastAsia="en-US"/>
              </w:rPr>
              <w:t xml:space="preserve"> Формы и методы проектирования педагогических условий в образовательном процессе</w:t>
            </w:r>
          </w:p>
          <w:p>
            <w:pPr>
              <w:pStyle w:val="Normal"/>
              <w:rPr>
                <w:rFonts w:eastAsia="Calibri"/>
                <w:color w:val="000000"/>
                <w:lang w:eastAsia="en-US"/>
              </w:rPr>
            </w:pPr>
            <w:r>
              <w:rPr>
                <w:rFonts w:eastAsia="Calibri"/>
                <w:b/>
                <w:lang w:eastAsia="en-US"/>
              </w:rPr>
              <w:t>(З) 3.2</w:t>
            </w:r>
            <w:r>
              <w:rPr>
                <w:rFonts w:eastAsia="Calibri"/>
                <w:lang w:eastAsia="en-US"/>
              </w:rPr>
              <w:t xml:space="preserve"> Формы и методы индивидуализации образовательного процесса для преодоления СДВГ у обучающихся</w:t>
            </w:r>
          </w:p>
        </w:tc>
        <w:tc>
          <w:tcPr>
            <w:tcW w:w="2195"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b/>
                <w:lang w:eastAsia="en-US"/>
              </w:rPr>
              <w:t xml:space="preserve">(У) 3.1 </w:t>
            </w:r>
            <w:r>
              <w:rPr>
                <w:rFonts w:eastAsia="Calibri"/>
                <w:lang w:eastAsia="en-US"/>
              </w:rPr>
              <w:t>Применять психолого-педагогические технологии (в том числе инклюзивные) преодоления СДВГ у обучающихся</w:t>
            </w:r>
          </w:p>
        </w:tc>
        <w:tc>
          <w:tcPr>
            <w:tcW w:w="27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pPr>
              <w:pStyle w:val="Normal"/>
              <w:rPr>
                <w:rFonts w:eastAsia="Calibri"/>
                <w:color w:val="000000"/>
                <w:lang w:eastAsia="en-US"/>
              </w:rPr>
            </w:pPr>
            <w:r>
              <w:rPr>
                <w:rFonts w:eastAsia="Calibri"/>
                <w:b/>
                <w:lang w:eastAsia="en-US"/>
              </w:rPr>
              <w:t>(О) 3.1</w:t>
            </w:r>
            <w:r>
              <w:rPr>
                <w:rFonts w:eastAsia="Calibri"/>
                <w:lang w:eastAsia="en-US"/>
              </w:rPr>
              <w:t xml:space="preserve"> Владеть опытом применения психолого-педагогических технологий (в том числе инклюзивных), необходимых для адресной работы с детьми с особыми образовательными потребностями (дети с синдромом дефицита внимания и гиперактивностью)</w:t>
            </w:r>
          </w:p>
        </w:tc>
      </w:tr>
    </w:tbl>
    <w:p>
      <w:pPr>
        <w:pStyle w:val="Normal"/>
        <w:rPr>
          <w:rFonts w:eastAsia="Calibri"/>
          <w:b/>
          <w:b/>
          <w:i/>
          <w:i/>
          <w:color w:val="000000"/>
          <w:sz w:val="24"/>
          <w:szCs w:val="24"/>
          <w:lang w:eastAsia="en-US"/>
        </w:rPr>
      </w:pPr>
      <w:r>
        <w:rPr>
          <w:rFonts w:eastAsia="Calibri"/>
          <w:b/>
          <w:i/>
          <w:color w:val="000000"/>
          <w:sz w:val="24"/>
          <w:szCs w:val="24"/>
          <w:lang w:eastAsia="en-US"/>
        </w:rPr>
      </w:r>
    </w:p>
    <w:p>
      <w:pPr>
        <w:pStyle w:val="Normal"/>
        <w:rPr>
          <w:rFonts w:eastAsia="Calibri"/>
          <w:b/>
          <w:b/>
          <w:i/>
          <w:i/>
          <w:color w:val="000000"/>
          <w:sz w:val="24"/>
          <w:szCs w:val="24"/>
          <w:lang w:eastAsia="en-US"/>
        </w:rPr>
      </w:pPr>
      <w:r>
        <w:rPr>
          <w:rFonts w:eastAsia="Calibri"/>
          <w:b/>
          <w:i/>
          <w:color w:val="000000"/>
          <w:sz w:val="24"/>
          <w:szCs w:val="24"/>
          <w:lang w:eastAsia="en-US"/>
        </w:rPr>
        <w:t>Описание образовательного процесса по данной рабочей программе:</w:t>
      </w:r>
    </w:p>
    <w:p>
      <w:pPr>
        <w:pStyle w:val="Normal"/>
        <w:rPr>
          <w:rFonts w:eastAsia="Calibri"/>
          <w:b/>
          <w:b/>
          <w:i/>
          <w:i/>
          <w:color w:val="000000"/>
          <w:sz w:val="24"/>
          <w:szCs w:val="24"/>
          <w:lang w:eastAsia="en-US"/>
        </w:rPr>
      </w:pPr>
      <w:r>
        <w:rPr>
          <w:rFonts w:eastAsia="Calibri"/>
          <w:b/>
          <w:i/>
          <w:color w:val="000000"/>
          <w:sz w:val="24"/>
          <w:szCs w:val="24"/>
          <w:lang w:eastAsia="en-US"/>
        </w:rPr>
      </w:r>
    </w:p>
    <w:tbl>
      <w:tblPr>
        <w:tblW w:w="9077" w:type="dxa"/>
        <w:jc w:val="left"/>
        <w:tblInd w:w="-5" w:type="dxa"/>
        <w:tblLayout w:type="fixed"/>
        <w:tblCellMar>
          <w:top w:w="0" w:type="dxa"/>
          <w:left w:w="108" w:type="dxa"/>
          <w:bottom w:w="0" w:type="dxa"/>
          <w:right w:w="108" w:type="dxa"/>
        </w:tblCellMar>
      </w:tblPr>
      <w:tblGrid>
        <w:gridCol w:w="719"/>
        <w:gridCol w:w="1828"/>
        <w:gridCol w:w="709"/>
        <w:gridCol w:w="1530"/>
        <w:gridCol w:w="2126"/>
        <w:gridCol w:w="2165"/>
      </w:tblGrid>
      <w:tr>
        <w:trPr/>
        <w:tc>
          <w:tcPr>
            <w:tcW w:w="71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pPr>
            <w:r>
              <w:rPr>
                <w:rFonts w:eastAsia="Calibri"/>
                <w:color w:val="000000"/>
                <w:lang w:eastAsia="en-US"/>
              </w:rPr>
              <w:t>№</w:t>
            </w:r>
            <w:r>
              <w:rPr>
                <w:rFonts w:eastAsia="Times New Roman"/>
                <w:color w:val="000000"/>
                <w:lang w:eastAsia="en-US"/>
              </w:rPr>
              <w:t xml:space="preserve"> </w:t>
            </w:r>
            <w:r>
              <w:rPr>
                <w:rFonts w:eastAsia="Calibri"/>
                <w:color w:val="000000"/>
                <w:lang w:eastAsia="en-US"/>
              </w:rPr>
              <w:t>п</w:t>
            </w:r>
            <w:r>
              <w:rPr>
                <w:rFonts w:eastAsia="Calibri"/>
                <w:color w:val="000000"/>
                <w:lang w:val="en-US" w:eastAsia="en-US"/>
              </w:rPr>
              <w:t>/</w:t>
            </w:r>
            <w:r>
              <w:rPr>
                <w:rFonts w:eastAsia="Calibri"/>
                <w:color w:val="000000"/>
                <w:lang w:eastAsia="en-US"/>
              </w:rPr>
              <w:t>п</w:t>
            </w:r>
          </w:p>
        </w:tc>
        <w:tc>
          <w:tcPr>
            <w:tcW w:w="1828"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Тема занятия (нескольких занятий)</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Кол-во часов</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Формы организации учебных занятий</w:t>
            </w:r>
          </w:p>
        </w:tc>
        <w:tc>
          <w:tcPr>
            <w:tcW w:w="2126"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color w:val="000000"/>
                <w:lang w:eastAsia="en-US"/>
              </w:rPr>
            </w:pPr>
            <w:r>
              <w:rPr>
                <w:rFonts w:eastAsia="Calibri"/>
                <w:color w:val="000000"/>
                <w:lang w:eastAsia="en-US"/>
              </w:rPr>
              <w:t>Основные элементы содержания</w:t>
            </w:r>
          </w:p>
        </w:tc>
        <w:tc>
          <w:tcPr>
            <w:tcW w:w="216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Формируемые (развиваемые) элементы ПК</w:t>
            </w:r>
          </w:p>
        </w:tc>
      </w:tr>
      <w:tr>
        <w:trPr/>
        <w:tc>
          <w:tcPr>
            <w:tcW w:w="719"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color w:val="000000"/>
                <w:lang w:eastAsia="en-US"/>
              </w:rPr>
            </w:pPr>
            <w:r>
              <w:rPr>
                <w:rFonts w:eastAsia="Calibri"/>
                <w:color w:val="000000"/>
                <w:lang w:eastAsia="en-US"/>
              </w:rPr>
              <w:t>1</w:t>
            </w:r>
          </w:p>
          <w:p>
            <w:pPr>
              <w:pStyle w:val="Normal"/>
              <w:tabs>
                <w:tab w:val="clear" w:pos="708"/>
                <w:tab w:val="left" w:pos="7513" w:leader="none"/>
              </w:tabs>
              <w:jc w:val="both"/>
              <w:rPr>
                <w:rFonts w:eastAsia="Calibri"/>
                <w:color w:val="000000"/>
                <w:lang w:eastAsia="en-US"/>
              </w:rPr>
            </w:pPr>
            <w:r>
              <w:rPr>
                <w:rFonts w:eastAsia="Calibri"/>
                <w:color w:val="000000"/>
                <w:lang w:eastAsia="en-US"/>
              </w:rPr>
            </w:r>
          </w:p>
        </w:tc>
        <w:tc>
          <w:tcPr>
            <w:tcW w:w="1828"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lang w:eastAsia="en-US"/>
              </w:rPr>
            </w:pPr>
            <w:r>
              <w:rPr>
                <w:rFonts w:eastAsia="Calibri"/>
                <w:lang w:eastAsia="en-US"/>
              </w:rPr>
              <w:t>Технологии проектирования педагогических условий в образовательном процессе</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6</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rFonts w:eastAsia="Calibri"/>
                <w:lang w:eastAsia="en-US"/>
              </w:rPr>
            </w:pPr>
            <w:r>
              <w:rPr>
                <w:rFonts w:eastAsia="Calibri"/>
                <w:lang w:eastAsia="en-US"/>
              </w:rPr>
              <w:t xml:space="preserve">Лекция </w:t>
            </w:r>
          </w:p>
        </w:tc>
        <w:tc>
          <w:tcPr>
            <w:tcW w:w="2126"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lang w:eastAsia="en-US"/>
              </w:rPr>
            </w:pPr>
            <w:r>
              <w:rPr>
                <w:rFonts w:eastAsia="Calibri"/>
                <w:lang w:eastAsia="en-US"/>
              </w:rPr>
              <w:t>Содержание, методы, формы, средства и характер взаимоотношения участников образовательного процесса</w:t>
            </w:r>
          </w:p>
        </w:tc>
        <w:tc>
          <w:tcPr>
            <w:tcW w:w="2165" w:type="dxa"/>
            <w:tcBorders>
              <w:top w:val="single" w:sz="4" w:space="0" w:color="000000"/>
              <w:left w:val="single" w:sz="4" w:space="0" w:color="000000"/>
              <w:bottom w:val="single" w:sz="4" w:space="0" w:color="000000"/>
              <w:right w:val="single" w:sz="4" w:space="0" w:color="000000"/>
            </w:tcBorders>
          </w:tcPr>
          <w:p>
            <w:pPr>
              <w:pStyle w:val="Normal"/>
              <w:rPr/>
            </w:pPr>
            <w:r>
              <w:rPr>
                <w:rFonts w:eastAsia="Calibri"/>
                <w:b/>
                <w:lang w:eastAsia="en-US"/>
              </w:rPr>
              <w:t>(З) 3.1</w:t>
            </w:r>
            <w:r>
              <w:rPr>
                <w:rFonts w:eastAsia="Calibri"/>
                <w:lang w:eastAsia="en-US"/>
              </w:rPr>
              <w:t xml:space="preserve"> Формы и методы проектирования педагогических условий в образовательном процессе</w:t>
            </w:r>
          </w:p>
        </w:tc>
      </w:tr>
      <w:tr>
        <w:trPr/>
        <w:tc>
          <w:tcPr>
            <w:tcW w:w="719"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jc w:val="both"/>
              <w:rPr>
                <w:rFonts w:ascii="Calibri" w:hAnsi="Calibri" w:eastAsia="Calibri" w:cs="Calibri"/>
                <w:color w:val="000000"/>
                <w:lang w:eastAsia="en-US"/>
              </w:rPr>
            </w:pPr>
            <w:r>
              <w:rPr>
                <w:rFonts w:eastAsia="Calibri" w:cs="Calibri" w:ascii="Calibri" w:hAnsi="Calibri"/>
                <w:color w:val="000000"/>
                <w:lang w:eastAsia="en-US"/>
              </w:rPr>
            </w:r>
          </w:p>
        </w:tc>
        <w:tc>
          <w:tcPr>
            <w:tcW w:w="1828"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snapToGrid w:val="false"/>
              <w:rPr>
                <w:rFonts w:eastAsia="Calibri"/>
                <w:color w:val="000000"/>
                <w:lang w:eastAsia="en-US"/>
              </w:rPr>
            </w:pPr>
            <w:r>
              <w:rPr>
                <w:rFonts w:eastAsia="Calibri"/>
                <w:color w:val="000000"/>
                <w:lang w:eastAsia="en-US"/>
              </w:rPr>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rPr>
            </w:pPr>
            <w:r>
              <w:rPr>
                <w:color w:val="000000"/>
              </w:rPr>
              <w:t>12</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rPr>
            </w:pPr>
            <w:r>
              <w:rPr>
                <w:color w:val="000000"/>
              </w:rPr>
              <w:t xml:space="preserve">Практикум </w:t>
            </w:r>
          </w:p>
        </w:tc>
        <w:tc>
          <w:tcPr>
            <w:tcW w:w="2126"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lang w:eastAsia="en-US"/>
              </w:rPr>
            </w:pPr>
            <w:r>
              <w:rPr>
                <w:rFonts w:eastAsia="Calibri"/>
                <w:lang w:eastAsia="en-US"/>
              </w:rPr>
              <w:t xml:space="preserve">Упражнения по проектированию педагогических условий в образовательном процессе для преодоления СДВГ </w:t>
            </w:r>
          </w:p>
        </w:tc>
        <w:tc>
          <w:tcPr>
            <w:tcW w:w="216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b/>
                <w:b/>
                <w:color w:val="000000"/>
                <w:lang w:eastAsia="en-US"/>
              </w:rPr>
            </w:pPr>
            <w:r>
              <w:rPr>
                <w:rFonts w:eastAsia="Calibri"/>
                <w:b/>
                <w:lang w:eastAsia="en-US"/>
              </w:rPr>
              <w:t xml:space="preserve">(У) 3.1 </w:t>
            </w:r>
            <w:r>
              <w:rPr>
                <w:rFonts w:eastAsia="Calibri"/>
                <w:lang w:eastAsia="en-US"/>
              </w:rPr>
              <w:t>Применять психолого-педагогические технологии (в том числе инклюзивные) преодоления СДВГ у обучающихся</w:t>
            </w:r>
          </w:p>
        </w:tc>
      </w:tr>
      <w:tr>
        <w:trPr/>
        <w:tc>
          <w:tcPr>
            <w:tcW w:w="71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both"/>
              <w:rPr>
                <w:rFonts w:eastAsia="Calibri"/>
                <w:color w:val="000000"/>
                <w:lang w:eastAsia="en-US"/>
              </w:rPr>
            </w:pPr>
            <w:r>
              <w:rPr>
                <w:rFonts w:eastAsia="Calibri"/>
                <w:color w:val="000000"/>
                <w:lang w:eastAsia="en-US"/>
              </w:rPr>
              <w:t>2</w:t>
            </w:r>
          </w:p>
        </w:tc>
        <w:tc>
          <w:tcPr>
            <w:tcW w:w="1828"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lang w:eastAsia="en-US"/>
              </w:rPr>
            </w:pPr>
            <w:r>
              <w:rPr>
                <w:rFonts w:eastAsia="Calibri"/>
                <w:lang w:eastAsia="en-US"/>
              </w:rPr>
              <w:t>Технологии индивидуализации образовательного процесса для преодоления СДВГ у обучающихся</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rPr>
            </w:pPr>
            <w:r>
              <w:rPr>
                <w:color w:val="000000"/>
              </w:rPr>
              <w:t>18</w:t>
            </w:r>
          </w:p>
        </w:tc>
        <w:tc>
          <w:tcPr>
            <w:tcW w:w="1530"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jc w:val="center"/>
              <w:rPr>
                <w:color w:val="000000"/>
              </w:rPr>
            </w:pPr>
            <w:r>
              <w:rPr>
                <w:color w:val="000000"/>
              </w:rPr>
              <w:t xml:space="preserve">Практикум </w:t>
            </w:r>
          </w:p>
        </w:tc>
        <w:tc>
          <w:tcPr>
            <w:tcW w:w="2126"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513" w:leader="none"/>
              </w:tabs>
              <w:rPr>
                <w:rFonts w:eastAsia="Calibri"/>
                <w:lang w:eastAsia="en-US"/>
              </w:rPr>
            </w:pPr>
            <w:r>
              <w:rPr>
                <w:rFonts w:eastAsia="Calibri"/>
                <w:lang w:eastAsia="en-US"/>
              </w:rPr>
              <w:t>- Семинар «Интерактивные формы и коррекционно-развивающие методы преодоления СДВГ у обучающихся в образовательном процессе»</w:t>
            </w:r>
          </w:p>
          <w:p>
            <w:pPr>
              <w:pStyle w:val="Normal"/>
              <w:tabs>
                <w:tab w:val="clear" w:pos="708"/>
                <w:tab w:val="left" w:pos="7513" w:leader="none"/>
              </w:tabs>
              <w:rPr>
                <w:rFonts w:eastAsia="Calibri"/>
                <w:lang w:eastAsia="en-US"/>
              </w:rPr>
            </w:pPr>
            <w:r>
              <w:rPr>
                <w:rFonts w:eastAsia="Calibri"/>
                <w:color w:val="000000"/>
                <w:lang w:eastAsia="en-US"/>
              </w:rPr>
              <w:t>- Учебная практика в ГОУ, представляющее передовой опыт проектирования педагогических условий для преодоления СДВГ</w:t>
            </w:r>
          </w:p>
        </w:tc>
        <w:tc>
          <w:tcPr>
            <w:tcW w:w="2165" w:type="dxa"/>
            <w:tcBorders>
              <w:top w:val="single" w:sz="4" w:space="0" w:color="000000"/>
              <w:left w:val="single" w:sz="4" w:space="0" w:color="000000"/>
              <w:bottom w:val="single" w:sz="4" w:space="0" w:color="000000"/>
              <w:right w:val="single" w:sz="4" w:space="0" w:color="000000"/>
            </w:tcBorders>
          </w:tcPr>
          <w:p>
            <w:pPr>
              <w:pStyle w:val="Normal"/>
              <w:rPr/>
            </w:pPr>
            <w:r>
              <w:rPr>
                <w:rFonts w:eastAsia="Calibri"/>
                <w:b/>
                <w:lang w:eastAsia="en-US"/>
              </w:rPr>
              <w:t>(З) 3.2</w:t>
            </w:r>
            <w:r>
              <w:rPr>
                <w:rFonts w:eastAsia="Calibri"/>
                <w:lang w:eastAsia="en-US"/>
              </w:rPr>
              <w:t xml:space="preserve"> Формы и методы индивидуализации образовательного процесса для преодоления СДВГ у обучающихся</w:t>
            </w:r>
          </w:p>
          <w:p>
            <w:pPr>
              <w:pStyle w:val="Normal"/>
              <w:rPr>
                <w:rFonts w:eastAsia="Calibri"/>
                <w:color w:val="000000"/>
                <w:lang w:eastAsia="en-US"/>
              </w:rPr>
            </w:pPr>
            <w:r>
              <w:rPr>
                <w:rFonts w:eastAsia="Calibri"/>
                <w:b/>
                <w:lang w:eastAsia="en-US"/>
              </w:rPr>
              <w:t>(О) 3.1</w:t>
            </w:r>
            <w:r>
              <w:rPr>
                <w:rFonts w:eastAsia="Calibri"/>
                <w:lang w:eastAsia="en-US"/>
              </w:rPr>
              <w:t xml:space="preserve"> Владеть опытом применения психолого-педагогических технологий (в том числе инклюзивных), необходимых для адресной работы с детьми с особыми образовательными потребностями (дети с синдромом дефицита внимания и гиперактивностью)</w:t>
            </w:r>
          </w:p>
        </w:tc>
      </w:tr>
    </w:tbl>
    <w:p>
      <w:pPr>
        <w:pStyle w:val="Normal"/>
        <w:spacing w:before="0" w:after="0"/>
        <w:contextualSpacing/>
        <w:rPr>
          <w:rFonts w:eastAsia="Calibri"/>
          <w:i/>
          <w:i/>
          <w:color w:val="000000"/>
          <w:sz w:val="24"/>
          <w:szCs w:val="24"/>
        </w:rPr>
      </w:pPr>
      <w:r>
        <w:rPr>
          <w:rFonts w:eastAsia="Calibri"/>
          <w:i/>
          <w:color w:val="000000"/>
          <w:sz w:val="24"/>
          <w:szCs w:val="24"/>
        </w:rPr>
      </w:r>
    </w:p>
    <w:p>
      <w:pPr>
        <w:pStyle w:val="Normal"/>
        <w:tabs>
          <w:tab w:val="clear" w:pos="708"/>
          <w:tab w:val="left" w:pos="993" w:leader="none"/>
        </w:tabs>
        <w:ind w:firstLine="567"/>
        <w:jc w:val="both"/>
        <w:rPr/>
      </w:pPr>
      <w:r>
        <w:rPr>
          <w:b/>
          <w:i/>
          <w:color w:val="000000"/>
          <w:sz w:val="24"/>
          <w:szCs w:val="24"/>
        </w:rPr>
        <w:t xml:space="preserve">Вариативность в содержании и организации обучения в рамках данного учебного модуля </w:t>
      </w:r>
      <w:r>
        <w:rPr>
          <w:b/>
          <w:i/>
          <w:sz w:val="24"/>
          <w:szCs w:val="24"/>
        </w:rPr>
        <w:t xml:space="preserve">− </w:t>
      </w:r>
      <w:r>
        <w:rPr>
          <w:sz w:val="24"/>
          <w:szCs w:val="24"/>
        </w:rPr>
        <w:t xml:space="preserve">слушатель имеет право выбирать вариативность содержания, форм и методов работы </w:t>
      </w:r>
    </w:p>
    <w:p>
      <w:pPr>
        <w:pStyle w:val="Normal"/>
        <w:spacing w:before="0" w:after="0"/>
        <w:ind w:firstLine="567"/>
        <w:contextualSpacing/>
        <w:rPr>
          <w:rFonts w:eastAsia="Calibri"/>
          <w:b/>
          <w:b/>
          <w:i/>
          <w:i/>
          <w:color w:val="000000"/>
          <w:sz w:val="24"/>
          <w:szCs w:val="24"/>
        </w:rPr>
      </w:pPr>
      <w:r>
        <w:rPr>
          <w:rFonts w:eastAsia="Calibri"/>
          <w:b/>
          <w:i/>
          <w:color w:val="000000"/>
          <w:sz w:val="24"/>
          <w:szCs w:val="24"/>
        </w:rPr>
      </w:r>
    </w:p>
    <w:p>
      <w:pPr>
        <w:pStyle w:val="Normal"/>
        <w:ind w:firstLine="567"/>
        <w:rPr>
          <w:rFonts w:eastAsia="Calibri"/>
          <w:b/>
          <w:b/>
          <w:color w:val="000000"/>
          <w:sz w:val="24"/>
          <w:szCs w:val="24"/>
          <w:lang w:eastAsia="en-US"/>
        </w:rPr>
      </w:pPr>
      <w:r>
        <w:rPr>
          <w:rFonts w:eastAsia="Calibri"/>
          <w:b/>
          <w:i/>
          <w:color w:val="000000"/>
          <w:sz w:val="24"/>
          <w:szCs w:val="24"/>
          <w:lang w:eastAsia="en-US"/>
        </w:rPr>
        <w:t>Паспорт оценочных средств для осуществления текущего контроля</w:t>
      </w:r>
      <w:r>
        <w:rPr>
          <w:rFonts w:eastAsia="Calibri"/>
          <w:i/>
          <w:color w:val="000000"/>
          <w:sz w:val="24"/>
          <w:szCs w:val="24"/>
          <w:lang w:eastAsia="en-US"/>
        </w:rPr>
        <w:t>:</w:t>
      </w:r>
    </w:p>
    <w:p>
      <w:pPr>
        <w:pStyle w:val="Normal"/>
        <w:ind w:firstLine="567"/>
        <w:rPr>
          <w:rFonts w:eastAsia="Calibri"/>
        </w:rPr>
      </w:pPr>
      <w:r>
        <w:rPr>
          <w:rFonts w:eastAsia="Times New Roman"/>
          <w:b/>
          <w:color w:val="000000"/>
          <w:sz w:val="24"/>
          <w:szCs w:val="24"/>
          <w:lang w:eastAsia="en-US"/>
        </w:rPr>
        <w:t xml:space="preserve">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center"/>
        <w:rPr>
          <w:rFonts w:eastAsia="Calibri"/>
          <w:color w:val="000000"/>
          <w:sz w:val="24"/>
          <w:szCs w:val="24"/>
          <w:lang w:eastAsia="en-US"/>
        </w:rPr>
      </w:pPr>
      <w:r>
        <w:rPr>
          <w:rFonts w:eastAsia="Calibri"/>
          <w:color w:val="000000"/>
          <w:sz w:val="24"/>
          <w:szCs w:val="24"/>
          <w:lang w:eastAsia="en-US"/>
        </w:rPr>
        <w:t>ОЦЕНОЧНЫЕ МАТЕРИАЛЫ</w:t>
      </w:r>
    </w:p>
    <w:p>
      <w:pPr>
        <w:pStyle w:val="Normal"/>
        <w:ind w:firstLine="567"/>
        <w:jc w:val="both"/>
        <w:rPr/>
      </w:pPr>
      <w:r>
        <w:rPr>
          <w:rFonts w:eastAsia="Calibri"/>
          <w:sz w:val="24"/>
          <w:szCs w:val="24"/>
          <w:lang w:eastAsia="en-US"/>
        </w:rPr>
        <w:t>Текущий контроль по модулю 3. «</w:t>
      </w:r>
      <w:r>
        <w:rPr>
          <w:sz w:val="24"/>
          <w:szCs w:val="24"/>
        </w:rPr>
        <w:t>Технологии п</w:t>
      </w:r>
      <w:r>
        <w:rPr>
          <w:rFonts w:eastAsia="Calibri"/>
          <w:sz w:val="24"/>
          <w:szCs w:val="24"/>
          <w:lang w:eastAsia="en-US"/>
        </w:rPr>
        <w:t>роектирования педагогических условий для преодоления синдрома дефицита внимания и гиперактивности у обучающихся в образовательном процессе» проводится в форме устного экзамена.</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both"/>
        <w:rPr/>
      </w:pPr>
      <w:r>
        <w:rPr>
          <w:rFonts w:eastAsia="Calibri"/>
          <w:sz w:val="24"/>
          <w:szCs w:val="24"/>
          <w:lang w:eastAsia="en-US"/>
        </w:rPr>
        <w:t xml:space="preserve">Устный экзамен представляет собой методический семинар, предполагающий публичное выступление слушателей, которые предоставляют и защищают самостоятельно разработанные методические материалы, содержащие психолого-педагогические технологии </w:t>
      </w:r>
      <w:r>
        <w:rPr>
          <w:sz w:val="24"/>
          <w:szCs w:val="24"/>
        </w:rPr>
        <w:t>п</w:t>
      </w:r>
      <w:r>
        <w:rPr>
          <w:rFonts w:eastAsia="Calibri"/>
          <w:sz w:val="24"/>
          <w:szCs w:val="24"/>
          <w:lang w:eastAsia="en-US"/>
        </w:rPr>
        <w:t>роектирования педагогических условий для преодоления СДВГ у обучающихся в образовательном процессе.</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both"/>
        <w:rPr>
          <w:rFonts w:eastAsia="Calibri"/>
          <w:sz w:val="24"/>
          <w:szCs w:val="24"/>
          <w:lang w:eastAsia="en-US"/>
        </w:rPr>
      </w:pPr>
      <w:r>
        <w:rPr>
          <w:rFonts w:eastAsia="Calibri"/>
          <w:sz w:val="24"/>
          <w:szCs w:val="24"/>
          <w:lang w:eastAsia="en-US"/>
        </w:rPr>
        <w:t>Текущий контроль в форме устного экзамена является дифференцированным и подразумевает выставление оценки в категориях «отлично», «хорошо», «удовлетворительно» и «неудовлетворительно».</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both"/>
        <w:rPr>
          <w:rFonts w:eastAsia="Calibri"/>
          <w:sz w:val="24"/>
          <w:szCs w:val="24"/>
          <w:lang w:eastAsia="en-US"/>
        </w:rPr>
      </w:pPr>
      <w:r>
        <w:rPr>
          <w:rFonts w:eastAsia="Calibri"/>
          <w:sz w:val="24"/>
          <w:szCs w:val="24"/>
          <w:lang w:eastAsia="en-US"/>
        </w:rPr>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center"/>
        <w:rPr>
          <w:rFonts w:eastAsia="Calibri"/>
          <w:sz w:val="24"/>
          <w:szCs w:val="24"/>
          <w:lang w:eastAsia="en-US"/>
        </w:rPr>
      </w:pPr>
      <w:r>
        <w:rPr>
          <w:rFonts w:eastAsia="Calibri"/>
          <w:sz w:val="24"/>
          <w:szCs w:val="24"/>
          <w:lang w:eastAsia="en-US"/>
        </w:rPr>
        <w:t>ПАСПОРТ ОЦЕНОЧНОГО СРЕДСТВА</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7"/>
        <w:jc w:val="center"/>
        <w:rPr>
          <w:rFonts w:eastAsia="Calibri"/>
          <w:sz w:val="24"/>
          <w:szCs w:val="24"/>
          <w:lang w:eastAsia="en-US"/>
        </w:rPr>
      </w:pPr>
      <w:r>
        <w:rPr>
          <w:rFonts w:eastAsia="Calibri"/>
          <w:sz w:val="24"/>
          <w:szCs w:val="24"/>
          <w:lang w:eastAsia="en-US"/>
        </w:rPr>
        <w:t>УСТНЫЙ ЭКЗАМЕН</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pPr>
      <w:r>
        <w:rPr>
          <w:rFonts w:eastAsia="Calibri"/>
          <w:sz w:val="24"/>
          <w:szCs w:val="24"/>
          <w:lang w:eastAsia="en-US"/>
        </w:rPr>
        <w:t>Представление методической разработки может сопровождаться показом презентации, которая выполняется слушателем в формате POWER POINT, содержит технологическое и научно-теоретическое обоснование разработанного материала.</w:t>
      </w:r>
      <w:r>
        <w:rPr>
          <w:rFonts w:eastAsia="Calibri"/>
          <w:color w:val="000000"/>
          <w:sz w:val="24"/>
          <w:szCs w:val="24"/>
          <w:lang w:eastAsia="en-US"/>
        </w:rPr>
        <w:t xml:space="preserve"> </w:t>
      </w:r>
    </w:p>
    <w:p>
      <w:pPr>
        <w:pStyle w:val="Normal"/>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eastAsia="Calibri"/>
          <w:color w:val="000000"/>
          <w:sz w:val="24"/>
          <w:szCs w:val="24"/>
          <w:lang w:eastAsia="en-US"/>
        </w:rPr>
      </w:pPr>
      <w:r>
        <w:rPr>
          <w:rFonts w:eastAsia="Calibri"/>
          <w:color w:val="000000"/>
          <w:sz w:val="24"/>
          <w:szCs w:val="24"/>
          <w:lang w:eastAsia="en-US"/>
        </w:rPr>
        <w:t xml:space="preserve">Текст типового задания: </w:t>
      </w:r>
    </w:p>
    <w:p>
      <w:pPr>
        <w:pStyle w:val="Normal"/>
        <w:numPr>
          <w:ilvl w:val="0"/>
          <w:numId w:val="10"/>
        </w:numPr>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hanging="0"/>
        <w:contextualSpacing/>
        <w:jc w:val="both"/>
        <w:rPr>
          <w:rFonts w:eastAsia="Calibri"/>
          <w:color w:val="000000"/>
          <w:sz w:val="24"/>
          <w:szCs w:val="24"/>
        </w:rPr>
      </w:pPr>
      <w:r>
        <w:rPr>
          <w:rFonts w:eastAsia="Calibri"/>
          <w:color w:val="000000"/>
          <w:sz w:val="24"/>
          <w:szCs w:val="24"/>
        </w:rPr>
        <w:t>Опишите основные формы и методы проектирования педагогических условий в образовательном процессе</w:t>
      </w:r>
    </w:p>
    <w:p>
      <w:pPr>
        <w:pStyle w:val="Normal"/>
        <w:numPr>
          <w:ilvl w:val="0"/>
          <w:numId w:val="10"/>
        </w:numPr>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hanging="0"/>
        <w:contextualSpacing/>
        <w:jc w:val="both"/>
        <w:rPr>
          <w:rFonts w:eastAsia="Calibri"/>
          <w:color w:val="000000"/>
          <w:sz w:val="24"/>
          <w:szCs w:val="24"/>
        </w:rPr>
      </w:pPr>
      <w:r>
        <w:rPr>
          <w:rFonts w:eastAsia="Calibri"/>
          <w:color w:val="000000"/>
          <w:sz w:val="24"/>
          <w:szCs w:val="24"/>
        </w:rPr>
        <w:t>Представьте психолого-педагогическую технологию адресной работы с обучающимися с СДВГ, направленную на коррекцию их синдрома</w:t>
      </w:r>
    </w:p>
    <w:p>
      <w:pPr>
        <w:pStyle w:val="Normal"/>
        <w:numPr>
          <w:ilvl w:val="0"/>
          <w:numId w:val="10"/>
        </w:numPr>
        <w:shd w:fill="FFFFFF" w:val="clea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hanging="0"/>
        <w:contextualSpacing/>
        <w:jc w:val="both"/>
        <w:rPr>
          <w:rFonts w:eastAsia="Calibri"/>
          <w:color w:val="000000"/>
          <w:sz w:val="24"/>
          <w:szCs w:val="24"/>
        </w:rPr>
      </w:pPr>
      <w:r>
        <w:rPr>
          <w:rFonts w:eastAsia="Calibri"/>
          <w:color w:val="000000"/>
          <w:sz w:val="24"/>
          <w:szCs w:val="24"/>
        </w:rPr>
        <w:t xml:space="preserve">Опишите интерактивные формы работы, используемых для преодоления у обучающихся СДВГ во внеурочной деятельности. </w:t>
      </w:r>
    </w:p>
    <w:tbl>
      <w:tblPr>
        <w:tblW w:w="9530" w:type="dxa"/>
        <w:jc w:val="left"/>
        <w:tblInd w:w="-94" w:type="dxa"/>
        <w:tblLayout w:type="fixed"/>
        <w:tblCellMar>
          <w:top w:w="140" w:type="dxa"/>
          <w:left w:w="80" w:type="dxa"/>
          <w:bottom w:w="140" w:type="dxa"/>
          <w:right w:w="80" w:type="dxa"/>
        </w:tblCellMar>
      </w:tblPr>
      <w:tblGrid>
        <w:gridCol w:w="2432"/>
        <w:gridCol w:w="2184"/>
        <w:gridCol w:w="2552"/>
        <w:gridCol w:w="2362"/>
      </w:tblGrid>
      <w:tr>
        <w:trPr>
          <w:trHeight w:val="300" w:hRule="atLeast"/>
        </w:trPr>
        <w:tc>
          <w:tcPr>
            <w:tcW w:w="2432"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 xml:space="preserve">Предмет(ы) </w:t>
            </w:r>
          </w:p>
          <w:p>
            <w:pPr>
              <w:pStyle w:val="Normal"/>
              <w:jc w:val="center"/>
              <w:rPr>
                <w:rFonts w:eastAsia="Calibri"/>
                <w:color w:val="000000"/>
                <w:lang w:eastAsia="en-US"/>
              </w:rPr>
            </w:pPr>
            <w:r>
              <w:rPr>
                <w:rFonts w:eastAsia="Calibri"/>
                <w:color w:val="000000"/>
                <w:lang w:eastAsia="en-US"/>
              </w:rPr>
              <w:t>оценивания</w:t>
            </w:r>
          </w:p>
        </w:tc>
        <w:tc>
          <w:tcPr>
            <w:tcW w:w="2184"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 xml:space="preserve">Объект(ы) </w:t>
            </w:r>
          </w:p>
          <w:p>
            <w:pPr>
              <w:pStyle w:val="Normal"/>
              <w:jc w:val="center"/>
              <w:rPr>
                <w:rFonts w:eastAsia="Calibri"/>
                <w:color w:val="000000"/>
                <w:lang w:eastAsia="en-US"/>
              </w:rPr>
            </w:pPr>
            <w:r>
              <w:rPr>
                <w:rFonts w:eastAsia="Calibri"/>
                <w:color w:val="000000"/>
                <w:lang w:eastAsia="en-US"/>
              </w:rPr>
              <w:t>оценивания</w:t>
            </w:r>
          </w:p>
        </w:tc>
        <w:tc>
          <w:tcPr>
            <w:tcW w:w="2552"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Критерии оценки</w:t>
            </w:r>
          </w:p>
        </w:tc>
        <w:tc>
          <w:tcPr>
            <w:tcW w:w="2362" w:type="dxa"/>
            <w:tcBorders>
              <w:top w:val="single" w:sz="6" w:space="0" w:color="000000"/>
              <w:left w:val="single" w:sz="6" w:space="0" w:color="000000"/>
              <w:bottom w:val="single" w:sz="6" w:space="0" w:color="000000"/>
              <w:right w:val="single" w:sz="6" w:space="0" w:color="000000"/>
            </w:tcBorders>
          </w:tcPr>
          <w:p>
            <w:pPr>
              <w:pStyle w:val="Normal"/>
              <w:jc w:val="center"/>
              <w:rPr>
                <w:rFonts w:eastAsia="Calibri"/>
                <w:color w:val="000000"/>
                <w:lang w:eastAsia="en-US"/>
              </w:rPr>
            </w:pPr>
            <w:r>
              <w:rPr>
                <w:rFonts w:eastAsia="Calibri"/>
                <w:color w:val="000000"/>
                <w:lang w:eastAsia="en-US"/>
              </w:rPr>
              <w:t>Показатели оценки</w:t>
            </w:r>
          </w:p>
        </w:tc>
      </w:tr>
      <w:tr>
        <w:trPr>
          <w:trHeight w:val="300" w:hRule="atLeast"/>
        </w:trPr>
        <w:tc>
          <w:tcPr>
            <w:tcW w:w="2432"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lang w:eastAsia="en-US"/>
              </w:rPr>
              <w:t>Готовность применять психолого-педагогические технологии (в том числе инклюзивные), необходимых для адресной работы с детьми с особыми образовательными потребностями (дети с синдромом дефицита внимания и гиперактивностью)</w:t>
            </w:r>
          </w:p>
        </w:tc>
        <w:tc>
          <w:tcPr>
            <w:tcW w:w="2184"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color w:val="000000"/>
                <w:lang w:eastAsia="en-US"/>
              </w:rPr>
              <w:t>Устное выступление (содержание выступления, ответы на дополнительные вопросы)</w:t>
            </w:r>
          </w:p>
        </w:tc>
        <w:tc>
          <w:tcPr>
            <w:tcW w:w="2552"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color w:val="000000"/>
                <w:lang w:eastAsia="en-US"/>
              </w:rPr>
              <w:t>1.В методических материалах описаны конкретные формы и методы преодоления СДВГ в образовательном процессе</w:t>
            </w:r>
          </w:p>
          <w:p>
            <w:pPr>
              <w:pStyle w:val="Normal"/>
              <w:rPr/>
            </w:pPr>
            <w:r>
              <w:rPr>
                <w:rFonts w:eastAsia="Calibri"/>
                <w:lang w:eastAsia="en-US"/>
              </w:rPr>
              <w:t xml:space="preserve">2. Описанные формы и методы </w:t>
            </w:r>
            <w:r>
              <w:rPr>
                <w:rFonts w:eastAsia="Calibri"/>
                <w:color w:val="000000"/>
                <w:lang w:eastAsia="en-US"/>
              </w:rPr>
              <w:t xml:space="preserve">соответствуют </w:t>
            </w:r>
            <w:r>
              <w:rPr>
                <w:rFonts w:eastAsia="Calibri"/>
                <w:lang w:eastAsia="en-US"/>
              </w:rPr>
              <w:t>принципам адресной помощи детям с СДВГ</w:t>
            </w:r>
          </w:p>
          <w:p>
            <w:pPr>
              <w:pStyle w:val="Normal"/>
              <w:rPr/>
            </w:pPr>
            <w:r>
              <w:rPr>
                <w:rFonts w:eastAsia="Calibri"/>
                <w:lang w:eastAsia="en-US"/>
              </w:rPr>
              <w:t xml:space="preserve">3. </w:t>
            </w:r>
            <w:r>
              <w:rPr>
                <w:rFonts w:eastAsia="Calibri"/>
                <w:color w:val="000000"/>
                <w:lang w:eastAsia="en-US"/>
              </w:rPr>
              <w:t>В ходе устного ответа слушатель демонстрирует высокую речевую культуру, знание терминологии по теме модуля</w:t>
            </w:r>
          </w:p>
        </w:tc>
        <w:tc>
          <w:tcPr>
            <w:tcW w:w="2362" w:type="dxa"/>
            <w:tcBorders>
              <w:top w:val="single" w:sz="6" w:space="0" w:color="000000"/>
              <w:left w:val="single" w:sz="6" w:space="0" w:color="000000"/>
              <w:bottom w:val="single" w:sz="6" w:space="0" w:color="000000"/>
              <w:right w:val="single" w:sz="6" w:space="0" w:color="000000"/>
            </w:tcBorders>
          </w:tcPr>
          <w:p>
            <w:pPr>
              <w:pStyle w:val="Normal"/>
              <w:rPr>
                <w:rFonts w:eastAsia="Calibri"/>
                <w:color w:val="000000"/>
                <w:lang w:eastAsia="en-US"/>
              </w:rPr>
            </w:pPr>
            <w:r>
              <w:rPr>
                <w:rFonts w:eastAsia="Calibri"/>
                <w:color w:val="000000"/>
                <w:lang w:eastAsia="en-US"/>
              </w:rPr>
              <w:t xml:space="preserve">«Отлично» - полностью соответствует критериям </w:t>
            </w:r>
          </w:p>
          <w:p>
            <w:pPr>
              <w:pStyle w:val="Normal"/>
              <w:rPr>
                <w:rFonts w:eastAsia="Calibri"/>
                <w:color w:val="000000"/>
                <w:lang w:eastAsia="en-US"/>
              </w:rPr>
            </w:pPr>
            <w:r>
              <w:rPr>
                <w:rFonts w:eastAsia="Calibri"/>
                <w:color w:val="000000"/>
                <w:lang w:eastAsia="en-US"/>
              </w:rPr>
              <w:t>«Хорошо» - частично соответствует критериям</w:t>
            </w:r>
          </w:p>
          <w:p>
            <w:pPr>
              <w:pStyle w:val="Normal"/>
              <w:rPr>
                <w:rFonts w:eastAsia="Calibri"/>
                <w:color w:val="000000"/>
                <w:lang w:eastAsia="en-US"/>
              </w:rPr>
            </w:pPr>
            <w:r>
              <w:rPr>
                <w:rFonts w:eastAsia="Calibri"/>
                <w:color w:val="000000"/>
                <w:lang w:eastAsia="en-US"/>
              </w:rPr>
              <w:t>«Удовлетворительно» - не соответствует критериям</w:t>
            </w:r>
          </w:p>
          <w:p>
            <w:pPr>
              <w:pStyle w:val="Normal"/>
              <w:rPr>
                <w:rFonts w:eastAsia="Calibri"/>
                <w:color w:val="000000"/>
                <w:lang w:eastAsia="en-US"/>
              </w:rPr>
            </w:pPr>
            <w:r>
              <w:rPr>
                <w:rFonts w:eastAsia="Calibri"/>
                <w:color w:val="000000"/>
                <w:lang w:eastAsia="en-US"/>
              </w:rPr>
              <w:t>«Неудовлетворительно» - методическая разработка не представлена</w:t>
            </w:r>
          </w:p>
        </w:tc>
      </w:tr>
    </w:tbl>
    <w:p>
      <w:pPr>
        <w:pStyle w:val="Normal"/>
        <w:jc w:val="both"/>
        <w:rPr>
          <w:i/>
          <w:i/>
          <w:sz w:val="24"/>
          <w:szCs w:val="24"/>
        </w:rPr>
      </w:pPr>
      <w:r>
        <w:rPr>
          <w:i/>
          <w:sz w:val="24"/>
          <w:szCs w:val="24"/>
        </w:rPr>
      </w:r>
    </w:p>
    <w:p>
      <w:pPr>
        <w:pStyle w:val="Normal"/>
        <w:shd w:fill="FFFFFF" w:val="clear"/>
        <w:ind w:firstLine="390"/>
        <w:jc w:val="center"/>
        <w:rPr>
          <w:rFonts w:eastAsia="Calibri"/>
          <w:b/>
          <w:b/>
          <w:color w:val="000000"/>
          <w:sz w:val="24"/>
          <w:szCs w:val="24"/>
          <w:lang w:eastAsia="en-US"/>
        </w:rPr>
      </w:pPr>
      <w:r>
        <w:rPr>
          <w:rFonts w:eastAsia="Calibri"/>
          <w:b/>
          <w:color w:val="000000"/>
          <w:sz w:val="24"/>
          <w:szCs w:val="24"/>
          <w:lang w:eastAsia="en-US"/>
        </w:rPr>
        <w:t>Тезаурус</w:t>
      </w:r>
    </w:p>
    <w:p>
      <w:pPr>
        <w:pStyle w:val="Normal"/>
        <w:shd w:fill="FFFFFF" w:val="clear"/>
        <w:spacing w:before="0" w:after="0"/>
        <w:ind w:firstLine="567"/>
        <w:contextualSpacing/>
        <w:jc w:val="both"/>
        <w:rPr>
          <w:rFonts w:eastAsia="Calibri"/>
          <w:sz w:val="24"/>
          <w:szCs w:val="24"/>
          <w:lang w:eastAsia="en-US"/>
        </w:rPr>
      </w:pPr>
      <w:r>
        <w:rPr>
          <w:rFonts w:eastAsia="Calibri"/>
          <w:i/>
          <w:sz w:val="24"/>
          <w:szCs w:val="24"/>
          <w:lang w:eastAsia="en-US"/>
        </w:rPr>
        <w:t>Синдром дефицита внимания и гиперактивности</w:t>
      </w:r>
      <w:r>
        <w:rPr>
          <w:rFonts w:eastAsia="Calibri"/>
          <w:b/>
          <w:sz w:val="24"/>
          <w:szCs w:val="24"/>
          <w:lang w:eastAsia="en-US"/>
        </w:rPr>
        <w:t xml:space="preserve"> </w:t>
      </w:r>
      <w:r>
        <w:rPr>
          <w:rFonts w:eastAsia="Calibri"/>
          <w:sz w:val="24"/>
          <w:szCs w:val="24"/>
          <w:lang w:eastAsia="en-US"/>
        </w:rPr>
        <w:t xml:space="preserve">– поведенческое расстройство, характеризующееся триадой симптомов: нарушением внимания, гиперактивностью и импульсивностью. Его относят к категории гиперкинетических расстройств (рубрика </w:t>
      </w:r>
      <w:r>
        <w:rPr>
          <w:rFonts w:eastAsia="Calibri"/>
          <w:sz w:val="24"/>
          <w:szCs w:val="24"/>
          <w:lang w:val="en-US" w:eastAsia="en-US"/>
        </w:rPr>
        <w:t>F</w:t>
      </w:r>
      <w:r>
        <w:rPr>
          <w:rFonts w:eastAsia="Calibri"/>
          <w:sz w:val="24"/>
          <w:szCs w:val="24"/>
          <w:lang w:eastAsia="en-US"/>
        </w:rPr>
        <w:t xml:space="preserve"> 90.0 по Международной классификации болезней МКБ-10). СДВГ ухудшает качество жизни детей с данным расстройством, вызывая нарушения социального функционирования, увеличивая риск травм и саморазрушающего поведения. От проявлений СДВГ страдают не только сами дети, но и их родственники, а также сверстники и учителя (Кучма В.Р., Брязгунов, 2008 И.П., </w:t>
      </w:r>
      <w:r>
        <w:rPr>
          <w:rFonts w:eastAsia="Calibri"/>
          <w:sz w:val="24"/>
          <w:szCs w:val="24"/>
          <w:shd w:fill="FFFFFF" w:val="clear"/>
          <w:lang w:eastAsia="en-US"/>
        </w:rPr>
        <w:t xml:space="preserve">Лохов М.И., </w:t>
      </w:r>
      <w:r>
        <w:rPr>
          <w:rFonts w:eastAsia="Calibri"/>
          <w:bCs/>
          <w:sz w:val="24"/>
          <w:szCs w:val="24"/>
          <w:shd w:fill="FFFFFF" w:val="clear"/>
          <w:lang w:eastAsia="en-US"/>
        </w:rPr>
        <w:t>Фесенко</w:t>
      </w:r>
      <w:r>
        <w:rPr>
          <w:rFonts w:eastAsia="Calibri"/>
          <w:sz w:val="24"/>
          <w:szCs w:val="24"/>
          <w:shd w:fill="FFFFFF" w:val="clear"/>
          <w:lang w:eastAsia="en-US"/>
        </w:rPr>
        <w:t>. Ю.А., Рубин</w:t>
      </w:r>
      <w:r>
        <w:rPr>
          <w:rFonts w:eastAsia="Calibri"/>
          <w:sz w:val="24"/>
          <w:szCs w:val="24"/>
          <w:lang w:eastAsia="en-US"/>
        </w:rPr>
        <w:t xml:space="preserve"> </w:t>
      </w:r>
      <w:r>
        <w:rPr>
          <w:rFonts w:eastAsia="Calibri"/>
          <w:sz w:val="24"/>
          <w:szCs w:val="24"/>
          <w:shd w:fill="FFFFFF" w:val="clear"/>
          <w:lang w:eastAsia="en-US"/>
        </w:rPr>
        <w:t>М.Ю., 2008).</w:t>
      </w:r>
    </w:p>
    <w:p>
      <w:pPr>
        <w:pStyle w:val="Normal"/>
        <w:shd w:fill="FFFFFF" w:val="clear"/>
        <w:ind w:firstLine="567"/>
        <w:jc w:val="both"/>
        <w:rPr/>
      </w:pPr>
      <w:r>
        <w:rPr>
          <w:rFonts w:eastAsia="Calibri"/>
          <w:i/>
          <w:sz w:val="24"/>
          <w:szCs w:val="24"/>
          <w:lang w:eastAsia="en-US"/>
        </w:rPr>
        <w:t>Дефицитарные функции, дефицитарное развитие.</w:t>
      </w:r>
      <w:r>
        <w:rPr>
          <w:rFonts w:eastAsia="Calibri"/>
          <w:sz w:val="24"/>
          <w:szCs w:val="24"/>
          <w:lang w:eastAsia="en-US"/>
        </w:rPr>
        <w:t xml:space="preserve"> В.В. Лебединский (1985) относил к основным параметрам, характеризующим нарушения психического развития в детском возрасте функциональную локализацию нарушения; роль времени в возникновении дизонтогенеза; сложные взаимоотношения между первичным и вторичным дефектами; асинхронный характер аномальных явлений. Для </w:t>
      </w:r>
      <w:r>
        <w:rPr>
          <w:rFonts w:eastAsia="Calibri"/>
          <w:bCs/>
          <w:i/>
          <w:iCs/>
          <w:sz w:val="24"/>
          <w:szCs w:val="24"/>
          <w:lang w:eastAsia="en-US"/>
        </w:rPr>
        <w:t>дефицитарного развития</w:t>
      </w:r>
      <w:r>
        <w:rPr>
          <w:rFonts w:eastAsia="Calibri"/>
          <w:b/>
          <w:bCs/>
          <w:iCs/>
          <w:sz w:val="24"/>
          <w:szCs w:val="24"/>
          <w:lang w:eastAsia="en-US"/>
        </w:rPr>
        <w:t xml:space="preserve"> </w:t>
      </w:r>
      <w:r>
        <w:rPr>
          <w:rFonts w:eastAsia="Calibri"/>
          <w:sz w:val="24"/>
          <w:szCs w:val="24"/>
          <w:lang w:eastAsia="en-US"/>
        </w:rPr>
        <w:t xml:space="preserve">характерно недоразвитие или повреждение отдельных анализаторных систем: зрения, слуха, опорно-двигательного аппарата, а также варианты смешанного дизонтогенеза. Первичный дефект ведет к недоразвитию функций, связанных с ним наиболее тесно, а также к замедлению развития других функций, связанных с пострадавшей опосредованно. Компенсация при дефицитарном развитии осуществляется в условиях адекватного воспитания и обучения. </w:t>
      </w:r>
      <w:r>
        <w:rPr>
          <w:rFonts w:eastAsia="Calibri"/>
          <w:iCs/>
          <w:sz w:val="24"/>
          <w:szCs w:val="24"/>
          <w:shd w:fill="FFFFFF" w:val="clear"/>
          <w:lang w:eastAsia="en-US"/>
        </w:rPr>
        <w:t>Особую значимость в возникновении нарушений развития имеют социальные факторы. В.В. Лебединский показал, что такими факторами являются социальная и эмоциональная депривация, длительное действие психотравмирующей ситуации, стрессовая ситуация, неправильное воспитание. Важнейшими факторами возникновения нарушений являются факторы социальной депривации. Без своевременной психолого-педагогической коррекции возникает выраженная вторичная микросоциальная и педагогическая запущенность, наблюдается ряд расстройств в эмоциональной и личностной сферах, связанных с ощущением неуспеха (снижение самооценки, уровня притязаний, возникновение аутистических черт и т.д.).</w:t>
      </w:r>
    </w:p>
    <w:p>
      <w:pPr>
        <w:pStyle w:val="Normal"/>
        <w:shd w:fill="FFFFFF" w:val="clear"/>
        <w:ind w:firstLine="567"/>
        <w:jc w:val="both"/>
        <w:rPr>
          <w:rFonts w:eastAsia="Calibri"/>
          <w:sz w:val="24"/>
          <w:szCs w:val="24"/>
          <w:lang w:eastAsia="en-US"/>
        </w:rPr>
      </w:pPr>
      <w:r>
        <w:rPr>
          <w:rFonts w:eastAsia="Calibri"/>
          <w:bCs/>
          <w:i/>
          <w:iCs/>
          <w:sz w:val="24"/>
          <w:szCs w:val="24"/>
          <w:lang w:eastAsia="en-US"/>
        </w:rPr>
        <w:t>«Зона ближайшего развития» -</w:t>
      </w:r>
      <w:r>
        <w:rPr>
          <w:rFonts w:eastAsia="Calibri"/>
          <w:bCs/>
          <w:iCs/>
          <w:sz w:val="24"/>
          <w:szCs w:val="24"/>
          <w:lang w:eastAsia="en-US"/>
        </w:rPr>
        <w:t xml:space="preserve"> п</w:t>
      </w:r>
      <w:r>
        <w:rPr>
          <w:rFonts w:eastAsia="Calibri"/>
          <w:bCs/>
          <w:sz w:val="24"/>
          <w:szCs w:val="24"/>
          <w:lang w:eastAsia="en-US"/>
        </w:rPr>
        <w:t>од ней Л.С. Выготский имел в виду расхождение между уровнем заданий, которые ребенок может решить самостоятельно и под руководством взрослого. Обучение, создавая эту «зону», стимулирует развитие.</w:t>
      </w:r>
      <w:r>
        <w:rPr>
          <w:rFonts w:eastAsia="Calibri"/>
          <w:iCs/>
          <w:sz w:val="24"/>
          <w:szCs w:val="24"/>
          <w:shd w:fill="FFFFFF" w:val="clear"/>
          <w:lang w:eastAsia="en-US"/>
        </w:rPr>
        <w:t xml:space="preserve"> Зона ближайшего действия — </w:t>
      </w:r>
      <w:r>
        <w:rPr>
          <w:rFonts w:eastAsia="Calibri"/>
          <w:sz w:val="24"/>
          <w:szCs w:val="24"/>
          <w:shd w:fill="FFFFFF" w:val="clear"/>
          <w:lang w:eastAsia="en-US"/>
        </w:rPr>
        <w:t>это разница между уровнем актуального развития и возможного развития ребенка благодаря содействию взрослых. «Зона ближайшего развития определяет функции, не созревшие еще, но находящиеся в процессе созревания; характеризует умственное развитие на завтрашний день». Этот феномен свидетельствует о ведущей роли обучения в умственном развитии ребенка.</w:t>
      </w:r>
    </w:p>
    <w:p>
      <w:pPr>
        <w:pStyle w:val="Normal"/>
        <w:numPr>
          <w:ilvl w:val="0"/>
          <w:numId w:val="0"/>
        </w:numPr>
        <w:shd w:fill="FFFFFF" w:val="clear"/>
        <w:ind w:firstLine="567"/>
        <w:jc w:val="both"/>
        <w:outlineLvl w:val="0"/>
        <w:rPr/>
      </w:pPr>
      <w:r>
        <w:rPr>
          <w:rFonts w:eastAsia="Calibri"/>
          <w:bCs/>
          <w:i/>
          <w:kern w:val="2"/>
          <w:sz w:val="24"/>
          <w:szCs w:val="24"/>
          <w:lang w:eastAsia="en-US"/>
        </w:rPr>
        <w:t>Социальная ситуация развития</w:t>
      </w:r>
      <w:r>
        <w:rPr>
          <w:rFonts w:eastAsia="Calibri"/>
          <w:bCs/>
          <w:kern w:val="2"/>
          <w:sz w:val="24"/>
          <w:szCs w:val="24"/>
          <w:lang w:eastAsia="en-US"/>
        </w:rPr>
        <w:t xml:space="preserve"> — это </w:t>
      </w:r>
      <w:r>
        <w:rPr>
          <w:rFonts w:eastAsia="Calibri"/>
          <w:sz w:val="24"/>
          <w:szCs w:val="24"/>
          <w:lang w:eastAsia="en-US"/>
        </w:rPr>
        <w:t xml:space="preserve">сущностная характеристика возрастного периода развития, введенная Л.С. Выготским. </w:t>
      </w:r>
      <w:r>
        <w:rPr>
          <w:rFonts w:eastAsia="Calibri"/>
          <w:bCs/>
          <w:kern w:val="2"/>
          <w:sz w:val="24"/>
          <w:szCs w:val="24"/>
          <w:lang w:eastAsia="en-US"/>
        </w:rPr>
        <w:t xml:space="preserve">Социальная ситуация развития </w:t>
      </w:r>
      <w:r>
        <w:rPr>
          <w:rFonts w:eastAsia="Calibri"/>
          <w:sz w:val="24"/>
          <w:szCs w:val="24"/>
          <w:lang w:eastAsia="en-US"/>
        </w:rPr>
        <w:t xml:space="preserve">как единственное и неповторимое, специфическое для данного возраста </w:t>
      </w:r>
      <w:hyperlink r:id="rId23">
        <w:r>
          <w:rPr>
            <w:rStyle w:val="InternetLink"/>
            <w:rFonts w:eastAsia="Calibri"/>
            <w:sz w:val="24"/>
            <w:szCs w:val="24"/>
            <w:lang w:eastAsia="en-US"/>
          </w:rPr>
          <w:t>отношение</w:t>
        </w:r>
      </w:hyperlink>
      <w:r>
        <w:rPr>
          <w:rFonts w:eastAsia="Calibri"/>
          <w:sz w:val="24"/>
          <w:szCs w:val="24"/>
          <w:lang w:eastAsia="en-US"/>
        </w:rPr>
        <w:t xml:space="preserve"> между ребенком и средой, определяет: объективное место ребенка в системе социальных отношений и соответствующие ожидания и требования, предъявляемые к нему обществом (А.Н. Леонтьев); особенности понимания ребенком занимаемой им социальной позиции и своих взаимоотношений с окружающими людьми. </w:t>
      </w:r>
    </w:p>
    <w:sectPr>
      <w:footerReference w:type="default" r:id="rId24"/>
      <w:type w:val="nextPage"/>
      <w:pgSz w:w="11906" w:h="16838"/>
      <w:pgMar w:left="1701" w:right="850" w:header="0" w:top="1134"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Cambria">
    <w:charset w:val="cc"/>
    <w:family w:val="roman"/>
    <w:pitch w:val="variable"/>
  </w:font>
  <w:font w:name="Calibri Light">
    <w:charset w:val="cc"/>
    <w:family w:val="swiss"/>
    <w:pitch w:val="variable"/>
  </w:font>
  <w:font w:name="Arial">
    <w:charset w:val="cc"/>
    <w:family w:val="swiss"/>
    <w:pitch w:val="variable"/>
  </w:font>
  <w:font w:name="Calibri">
    <w:charset w:val="cc"/>
    <w:family w:val="swiss"/>
    <w:pitch w:val="variable"/>
  </w:font>
  <w:font w:name="Courier New">
    <w:charset w:val="cc"/>
    <w:family w:val="modern"/>
    <w:pitch w:val="default"/>
  </w:font>
  <w:font w:name="Wingdings">
    <w:charset w:val="02"/>
    <w:family w:val="auto"/>
    <w:pitch w:val="variable"/>
  </w:font>
  <w:font w:name="Tahoma">
    <w:charset w:val="cc"/>
    <w:family w:val="swiss"/>
    <w:pitch w:val="variable"/>
  </w:font>
  <w:font w:name="OpenSymbol">
    <w:altName w:val="Arial Unicode MS"/>
    <w:charset w:val="00"/>
    <w:family w:val="auto"/>
    <w:pitch w:val="default"/>
  </w:font>
  <w:font w:name="OpenSymbol">
    <w:altName w:val="Arial Unicode MS"/>
    <w:charset w:val="80"/>
    <w:family w:val="auto"/>
    <w:pitch w:val="default"/>
  </w:font>
  <w:font w:name="Consolas">
    <w:charset w:val="cc"/>
    <w:family w:val="modern"/>
    <w:pitch w:val="default"/>
  </w:font>
  <w:font w:name="Liberation Serif">
    <w:altName w:val="Times New Roman"/>
    <w:charset w:val="00"/>
    <w:family w:val="roman"/>
    <w:pitch w:val="variable"/>
  </w:font>
  <w:font w:name="NewtonC">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pPr>
    <w:r>
      <w:rPr/>
    </w:r>
    <w:r>
      <mc:AlternateContent>
        <mc:Choice Requires="wps">
          <w:drawing>
            <wp:anchor behindDoc="0" distT="0" distB="0" distL="0" distR="0" simplePos="0" locked="0" layoutInCell="0" allowOverlap="1" relativeHeight="94">
              <wp:simplePos x="0" y="0"/>
              <wp:positionH relativeFrom="margin">
                <wp:align>right</wp:align>
              </wp:positionH>
              <wp:positionV relativeFrom="paragraph">
                <wp:posOffset>635</wp:posOffset>
              </wp:positionV>
              <wp:extent cx="140335" cy="160655"/>
              <wp:effectExtent l="0" t="0" r="0" b="0"/>
              <wp:wrapSquare wrapText="largest"/>
              <wp:docPr id="12" name="Frame2"/>
              <a:graphic xmlns:a="http://schemas.openxmlformats.org/drawingml/2006/main">
                <a:graphicData uri="http://schemas.microsoft.com/office/word/2010/wordprocessingShape">
                  <wps:wsp>
                    <wps:cNvSpPr txBox="1"/>
                    <wps:spPr>
                      <a:xfrm>
                        <a:off x="0" y="0"/>
                        <a:ext cx="140335" cy="160655"/>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82</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1.05pt;height:12.65pt;mso-wrap-distance-left:0pt;mso-wrap-distance-right:0pt;mso-wrap-distance-top:0pt;mso-wrap-distance-bottom:0pt;margin-top:0.05pt;mso-position-vertical-relative:text;margin-left:456.7pt;mso-position-horizontal:right;mso-position-horizontal-relative:margin">
              <v:fill opacity="0f"/>
              <v:textbox inset="0in,0in,0in,0in">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82</w:t>
                    </w:r>
                    <w:r>
                      <w:rPr>
                        <w:rStyle w:val="PageNumber"/>
                      </w:rP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suff w:val="space"/>
      <w:lvlText w:val="%1."/>
      <w:lvlJc w:val="left"/>
      <w:pPr>
        <w:tabs>
          <w:tab w:val="num" w:pos="0"/>
        </w:tabs>
        <w:ind w:left="0" w:hanging="0"/>
      </w:pPr>
      <w:rPr>
        <w:sz w:val="24"/>
        <w:szCs w:val="24"/>
        <w:rFonts w:cs="Times New Roman"/>
        <w:color w:val="000000"/>
      </w:rPr>
    </w:lvl>
  </w:abstractNum>
  <w:abstractNum w:abstractNumId="3">
    <w:lvl w:ilvl="0">
      <w:start w:val="1"/>
      <w:numFmt w:val="bullet"/>
      <w:lvlText w:val=""/>
      <w:lvlJc w:val="left"/>
      <w:pPr>
        <w:tabs>
          <w:tab w:val="num" w:pos="0"/>
        </w:tabs>
        <w:ind w:left="720" w:hanging="360"/>
      </w:pPr>
      <w:rPr>
        <w:rFonts w:ascii="Symbol" w:hAnsi="Symbol" w:cs="Symbol" w:hint="default"/>
      </w:rPr>
    </w:lvl>
  </w:abstractNum>
  <w:abstractNum w:abstractNumId="4">
    <w:lvl w:ilvl="0">
      <w:start w:val="1"/>
      <w:numFmt w:val="bullet"/>
      <w:lvlText w:val=""/>
      <w:lvlJc w:val="left"/>
      <w:pPr>
        <w:tabs>
          <w:tab w:val="num" w:pos="0"/>
        </w:tabs>
        <w:ind w:left="1287" w:hanging="360"/>
      </w:pPr>
      <w:rPr>
        <w:rFonts w:ascii="Symbol" w:hAnsi="Symbol" w:cs="Symbol" w:hint="default"/>
      </w:rPr>
    </w:lvl>
  </w:abstractNum>
  <w:abstractNum w:abstractNumId="5">
    <w:lvl w:ilvl="0">
      <w:start w:val="1"/>
      <w:numFmt w:val="decimal"/>
      <w:lvlText w:val="%1."/>
      <w:lvlJc w:val="left"/>
      <w:pPr>
        <w:tabs>
          <w:tab w:val="num" w:pos="708"/>
        </w:tabs>
        <w:ind w:left="927" w:hanging="360"/>
      </w:pPr>
      <w:rPr>
        <w:sz w:val="24"/>
        <w:szCs w:val="24"/>
        <w:rFonts w:eastAsia="Calibri"/>
        <w:color w:val="000000"/>
      </w:rPr>
    </w:lvl>
  </w:abstractNum>
  <w:abstractNum w:abstractNumId="6">
    <w:lvl w:ilvl="0">
      <w:start w:val="1"/>
      <w:numFmt w:val="decimal"/>
      <w:lvlText w:val="%1."/>
      <w:lvlJc w:val="left"/>
      <w:pPr>
        <w:tabs>
          <w:tab w:val="num" w:pos="0"/>
        </w:tabs>
        <w:ind w:left="720" w:hanging="360"/>
      </w:pPr>
      <w:rPr>
        <w:sz w:val="24"/>
        <w:b w:val="false"/>
        <w:szCs w:val="24"/>
        <w:rFonts w:ascii="Times New Roman" w:hAnsi="Times New Roman" w:cs="Times New Roman"/>
        <w:lang w:eastAsia="ru-RU"/>
      </w:rPr>
    </w:lvl>
  </w:abstractNum>
  <w:abstractNum w:abstractNumId="7">
    <w:lvl w:ilvl="0">
      <w:start w:val="1"/>
      <w:numFmt w:val="decimal"/>
      <w:lvlText w:val="%1."/>
      <w:lvlJc w:val="left"/>
      <w:pPr>
        <w:tabs>
          <w:tab w:val="num" w:pos="0"/>
        </w:tabs>
        <w:ind w:left="927" w:hanging="360"/>
      </w:pPr>
      <w:rPr>
        <w:sz w:val="24"/>
        <w:szCs w:val="24"/>
        <w:rFonts w:eastAsia="Calibri"/>
        <w:color w:val="000000"/>
      </w:rPr>
    </w:lvl>
  </w:abstractNum>
  <w:abstractNum w:abstractNumId="8">
    <w:lvl w:ilvl="0">
      <w:start w:val="1"/>
      <w:numFmt w:val="bullet"/>
      <w:lvlText w:val=""/>
      <w:lvlJc w:val="left"/>
      <w:pPr>
        <w:tabs>
          <w:tab w:val="num" w:pos="0"/>
        </w:tabs>
        <w:ind w:left="1854" w:hanging="360"/>
      </w:pPr>
      <w:rPr>
        <w:rFonts w:ascii="Symbol" w:hAnsi="Symbol" w:cs="Symbol" w:hint="default"/>
      </w:rPr>
    </w:lvl>
  </w:abstractNum>
  <w:abstractNum w:abstractNumId="9">
    <w:lvl w:ilvl="0">
      <w:start w:val="1"/>
      <w:numFmt w:val="decimal"/>
      <w:lvlText w:val="%1."/>
      <w:lvlJc w:val="left"/>
      <w:pPr>
        <w:tabs>
          <w:tab w:val="num" w:pos="0"/>
        </w:tabs>
        <w:ind w:left="720" w:hanging="360"/>
      </w:pPr>
      <w:rPr/>
    </w:lvl>
  </w:abstractNum>
  <w:abstractNum w:abstractNumId="10">
    <w:lvl w:ilvl="0">
      <w:start w:val="1"/>
      <w:numFmt w:val="decimal"/>
      <w:lvlText w:val="%1."/>
      <w:lvlJc w:val="left"/>
      <w:pPr>
        <w:tabs>
          <w:tab w:val="num" w:pos="0"/>
        </w:tabs>
        <w:ind w:left="927" w:hanging="360"/>
      </w:pPr>
      <w:rPr>
        <w:sz w:val="24"/>
        <w:szCs w:val="24"/>
        <w:rFonts w:eastAsia="Calibri"/>
      </w:rPr>
    </w:lvl>
  </w:abstractNum>
  <w:abstractNum w:abstractNumId="11">
    <w:lvl w:ilvl="0">
      <w:start w:val="1"/>
      <w:numFmt w:val="bullet"/>
      <w:lvlText w:val=""/>
      <w:lvlJc w:val="left"/>
      <w:pPr>
        <w:tabs>
          <w:tab w:val="num" w:pos="0"/>
        </w:tabs>
        <w:ind w:left="1854" w:hanging="360"/>
      </w:pPr>
      <w:rPr>
        <w:rFonts w:ascii="Symbol" w:hAnsi="Symbol" w:cs="Symbol" w:hint="default"/>
      </w:rPr>
    </w:lvl>
  </w:abstractNum>
  <w:abstractNum w:abstractNumId="12">
    <w:lvl w:ilvl="0">
      <w:start w:val="1"/>
      <w:numFmt w:val="decimal"/>
      <w:lvlText w:val="%1."/>
      <w:lvlJc w:val="left"/>
      <w:pPr>
        <w:tabs>
          <w:tab w:val="num" w:pos="708"/>
        </w:tabs>
        <w:ind w:left="927" w:hanging="360"/>
      </w:pPr>
      <w:rPr>
        <w:highlight w:val="yellow"/>
        <w:rFonts w:eastAsia="Calibri"/>
        <w:color w:val="333333"/>
      </w:rPr>
    </w:lvl>
  </w:abstractNum>
  <w:abstractNum w:abstractNumId="13">
    <w:lvl w:ilvl="0">
      <w:start w:val="1"/>
      <w:numFmt w:val="decimal"/>
      <w:lvlText w:val="%1."/>
      <w:lvlJc w:val="left"/>
      <w:pPr>
        <w:tabs>
          <w:tab w:val="num" w:pos="0"/>
        </w:tabs>
        <w:ind w:left="927" w:hanging="360"/>
      </w:pPr>
      <w:rPr>
        <w:rFonts w:eastAsia="Calibri"/>
        <w:color w:val="000000"/>
      </w:rPr>
    </w:lvl>
  </w:abstractNum>
  <w:abstractNum w:abstractNumId="14">
    <w:lvl w:ilvl="0">
      <w:start w:val="1"/>
      <w:numFmt w:val="decimal"/>
      <w:lvlText w:val="%1."/>
      <w:lvlJc w:val="left"/>
      <w:pPr>
        <w:tabs>
          <w:tab w:val="num" w:pos="0"/>
        </w:tabs>
        <w:ind w:left="720" w:hanging="360"/>
      </w:pPr>
      <w:rPr/>
    </w:lvl>
  </w:abstractNum>
  <w:abstractNum w:abstractNumId="15">
    <w:lvl w:ilvl="0">
      <w:start w:val="1"/>
      <w:numFmt w:val="bullet"/>
      <w:lvlText w:val=""/>
      <w:lvlJc w:val="left"/>
      <w:pPr>
        <w:tabs>
          <w:tab w:val="num" w:pos="0"/>
        </w:tabs>
        <w:ind w:left="720" w:hanging="360"/>
      </w:pPr>
      <w:rPr>
        <w:rFonts w:ascii="Symbol" w:hAnsi="Symbol" w:cs="Symbol" w:hint="default"/>
      </w:rPr>
    </w:lvl>
  </w:abstractNum>
  <w:abstractNum w:abstractNumId="16">
    <w:lvl w:ilvl="0">
      <w:start w:val="1"/>
      <w:numFmt w:val="bullet"/>
      <w:lvlText w:val=""/>
      <w:lvlJc w:val="left"/>
      <w:pPr>
        <w:tabs>
          <w:tab w:val="num" w:pos="708"/>
        </w:tabs>
        <w:ind w:left="720" w:hanging="360"/>
      </w:pPr>
      <w:rPr>
        <w:rFonts w:ascii="Symbol" w:hAnsi="Symbol" w:cs="Symbol" w:hint="default"/>
      </w:rPr>
    </w:lvl>
  </w:abstractNum>
  <w:abstractNum w:abstractNumId="17">
    <w:lvl w:ilvl="0">
      <w:numFmt w:val="bullet"/>
      <w:lvlText w:val="•"/>
      <w:lvlJc w:val="left"/>
      <w:pPr>
        <w:tabs>
          <w:tab w:val="num" w:pos="708"/>
        </w:tabs>
        <w:ind w:left="930" w:hanging="540"/>
      </w:pPr>
      <w:rPr>
        <w:rFonts w:ascii="Times New Roman" w:hAnsi="Times New Roman" w:cs="Times New Roman" w:hint="default"/>
      </w:rPr>
    </w:lvl>
  </w:abstractNum>
  <w:abstractNum w:abstractNumId="18">
    <w:lvl w:ilvl="0">
      <w:start w:val="1"/>
      <w:numFmt w:val="decimal"/>
      <w:lvlText w:val="%1."/>
      <w:lvlJc w:val="left"/>
      <w:pPr>
        <w:tabs>
          <w:tab w:val="num" w:pos="0"/>
        </w:tabs>
        <w:ind w:left="720" w:hanging="360"/>
      </w:pPr>
      <w:rPr>
        <w:sz w:val="22"/>
        <w:rFonts w:eastAsia="Calibri"/>
        <w:lang w:eastAsia="en-US"/>
      </w:rPr>
    </w:lvl>
  </w:abstractNum>
  <w:abstractNum w:abstractNumId="19">
    <w:lvl w:ilvl="0">
      <w:start w:val="1"/>
      <w:numFmt w:val="bullet"/>
      <w:lvlText w:val=""/>
      <w:lvlJc w:val="left"/>
      <w:pPr>
        <w:tabs>
          <w:tab w:val="num" w:pos="0"/>
        </w:tabs>
        <w:ind w:left="720" w:hanging="360"/>
      </w:pPr>
      <w:rPr>
        <w:rFonts w:ascii="Symbol" w:hAnsi="Symbol" w:cs="Symbol" w:hint="default"/>
      </w:rPr>
    </w:lvl>
  </w:abstractNum>
  <w:abstractNum w:abstractNumId="20">
    <w:lvl w:ilvl="0">
      <w:start w:val="1"/>
      <w:numFmt w:val="decimal"/>
      <w:lvlText w:val="%1."/>
      <w:lvlJc w:val="left"/>
      <w:pPr>
        <w:tabs>
          <w:tab w:val="num" w:pos="0"/>
        </w:tabs>
        <w:ind w:left="900" w:hanging="360"/>
      </w:pPr>
      <w:rPr>
        <w:sz w:val="24"/>
        <w:szCs w:val="24"/>
        <w:iCs/>
        <w:bCs/>
        <w:rFonts w:ascii="Times New Roman" w:hAnsi="Times New Roman" w:eastAsia="PTSerif-Regular;MS Mincho" w:cs="Times New Roman"/>
        <w:color w:val="000000"/>
      </w:rPr>
    </w:lvl>
  </w:abstractNum>
  <w:abstractNum w:abstractNumId="21">
    <w:lvl w:ilvl="0">
      <w:start w:val="1"/>
      <w:numFmt w:val="decimal"/>
      <w:lvlText w:val="%1."/>
      <w:lvlJc w:val="left"/>
      <w:pPr>
        <w:tabs>
          <w:tab w:val="num" w:pos="0"/>
        </w:tabs>
        <w:ind w:left="5606" w:hanging="360"/>
      </w:pPr>
      <w:rPr>
        <w:sz w:val="28"/>
        <w:b w:val="false"/>
        <w:szCs w:val="28"/>
        <w:rFonts w:ascii="Times New Roman" w:hAnsi="Times New Roman" w:eastAsia="Calibri" w:cs="Times New Roman"/>
        <w:color w:val="000000"/>
        <w:lang w:eastAsia="en-US"/>
      </w:rPr>
    </w:lvl>
  </w:abstractNum>
  <w:abstractNum w:abstractNumId="22">
    <w:lvl w:ilvl="0">
      <w:start w:val="1"/>
      <w:numFmt w:val="bullet"/>
      <w:lvlText w:val=""/>
      <w:lvlJc w:val="left"/>
      <w:pPr>
        <w:tabs>
          <w:tab w:val="num" w:pos="0"/>
        </w:tabs>
        <w:ind w:left="1854" w:hanging="360"/>
      </w:pPr>
      <w:rPr>
        <w:rFonts w:ascii="Symbol" w:hAnsi="Symbol" w:cs="Symbol" w:hint="default"/>
      </w:rPr>
    </w:lvl>
  </w:abstractNum>
  <w:abstractNum w:abstractNumId="23">
    <w:lvl w:ilvl="0">
      <w:start w:val="1"/>
      <w:numFmt w:val="decimal"/>
      <w:lvlText w:val="%1."/>
      <w:lvlJc w:val="left"/>
      <w:pPr>
        <w:tabs>
          <w:tab w:val="num" w:pos="0"/>
        </w:tabs>
        <w:ind w:left="720" w:hanging="360"/>
      </w:pPr>
      <w:rPr>
        <w:sz w:val="28"/>
        <w:b/>
        <w:szCs w:val="28"/>
        <w:bCs/>
      </w:rPr>
    </w:lvl>
  </w:abstractNum>
  <w:abstractNum w:abstractNumId="24">
    <w:lvl w:ilvl="0">
      <w:start w:val="1"/>
      <w:numFmt w:val="bullet"/>
      <w:lvlText w:val=""/>
      <w:lvlJc w:val="left"/>
      <w:pPr>
        <w:tabs>
          <w:tab w:val="num" w:pos="0"/>
        </w:tabs>
        <w:ind w:left="720" w:hanging="360"/>
      </w:pPr>
      <w:rPr>
        <w:rFonts w:ascii="Symbol" w:hAnsi="Symbol" w:cs="Symbol" w:hint="default"/>
      </w:rPr>
    </w:lvl>
  </w:abstractNum>
  <w:abstractNum w:abstractNumId="25">
    <w:lvl w:ilvl="0">
      <w:start w:val="1"/>
      <w:numFmt w:val="bullet"/>
      <w:lvlText w:val=""/>
      <w:lvlJc w:val="left"/>
      <w:pPr>
        <w:tabs>
          <w:tab w:val="num" w:pos="0"/>
        </w:tabs>
        <w:ind w:left="720" w:hanging="360"/>
      </w:pPr>
      <w:rPr>
        <w:rFonts w:ascii="Symbol" w:hAnsi="Symbol" w:cs="Symbol" w:hint="default"/>
      </w:rPr>
    </w:lvl>
  </w:abstractNum>
  <w:abstractNum w:abstractNumId="26">
    <w:lvl w:ilvl="0">
      <w:start w:val="1"/>
      <w:numFmt w:val="bullet"/>
      <w:lvlText w:val=""/>
      <w:lvlJc w:val="left"/>
      <w:pPr>
        <w:tabs>
          <w:tab w:val="num" w:pos="0"/>
        </w:tabs>
        <w:ind w:left="720" w:hanging="360"/>
      </w:pPr>
      <w:rPr>
        <w:rFonts w:ascii="Symbol" w:hAnsi="Symbol" w:cs="Symbol" w:hint="default"/>
      </w:rPr>
    </w:lvl>
  </w:abstractNum>
  <w:abstractNum w:abstractNumId="27">
    <w:lvl w:ilvl="0">
      <w:start w:val="1"/>
      <w:numFmt w:val="bullet"/>
      <w:lvlText w:val=""/>
      <w:lvlJc w:val="left"/>
      <w:pPr>
        <w:tabs>
          <w:tab w:val="num" w:pos="1260"/>
        </w:tabs>
        <w:ind w:left="1260" w:hanging="360"/>
      </w:pPr>
      <w:rPr>
        <w:rFonts w:ascii="Symbol" w:hAnsi="Symbol" w:cs="Symbol" w:hint="default"/>
      </w:rPr>
    </w:lvl>
  </w:abstractNum>
  <w:abstractNum w:abstractNumId="28">
    <w:lvl w:ilvl="0">
      <w:start w:val="1"/>
      <w:numFmt w:val="bullet"/>
      <w:lvlText w:val=""/>
      <w:lvlJc w:val="left"/>
      <w:pPr>
        <w:tabs>
          <w:tab w:val="num" w:pos="0"/>
        </w:tabs>
        <w:ind w:left="720" w:hanging="360"/>
      </w:pPr>
      <w:rPr>
        <w:rFonts w:ascii="Symbol" w:hAnsi="Symbol" w:cs="Symbol" w:hint="default"/>
      </w:rPr>
    </w:lvl>
  </w:abstractNum>
  <w:abstractNum w:abstractNumId="29">
    <w:lvl w:ilvl="0">
      <w:start w:val="1"/>
      <w:numFmt w:val="decimal"/>
      <w:lvlText w:val="%1."/>
      <w:lvlJc w:val="left"/>
      <w:pPr>
        <w:tabs>
          <w:tab w:val="num" w:pos="708"/>
        </w:tabs>
        <w:ind w:left="750" w:hanging="360"/>
      </w:pPr>
      <w:rPr/>
    </w:lvl>
  </w:abstractNum>
  <w:abstractNum w:abstractNumId="30">
    <w:lvl w:ilvl="0">
      <w:start w:val="1"/>
      <w:numFmt w:val="decimal"/>
      <w:lvlText w:val="%1."/>
      <w:lvlJc w:val="left"/>
      <w:pPr>
        <w:tabs>
          <w:tab w:val="num" w:pos="0"/>
        </w:tabs>
        <w:ind w:left="7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w="http://schemas.openxmlformats.org/wordprocessingml/2006/main">
  <w:zoom w:percent="70"/>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SC" w:cs="Noto Sans Devanagari"/>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2"/>
      <w:szCs w:val="22"/>
      <w:lang w:val="ru-RU" w:bidi="ar-SA" w:eastAsia="zh-CN"/>
    </w:rPr>
  </w:style>
  <w:style w:type="paragraph" w:styleId="Heading1">
    <w:name w:val="Heading 1"/>
    <w:basedOn w:val="Normal"/>
    <w:next w:val="Normal"/>
    <w:qFormat/>
    <w:pPr>
      <w:keepNext w:val="true"/>
      <w:numPr>
        <w:ilvl w:val="0"/>
        <w:numId w:val="1"/>
      </w:numPr>
      <w:spacing w:lineRule="auto" w:line="276" w:before="240" w:after="60"/>
      <w:outlineLvl w:val="0"/>
    </w:pPr>
    <w:rPr>
      <w:rFonts w:ascii="Cambria" w:hAnsi="Cambria" w:cs="Cambria"/>
      <w:b/>
      <w:bCs/>
      <w:kern w:val="2"/>
      <w:sz w:val="32"/>
      <w:szCs w:val="32"/>
    </w:rPr>
  </w:style>
  <w:style w:type="paragraph" w:styleId="Heading2">
    <w:name w:val="Heading 2"/>
    <w:basedOn w:val="Normal"/>
    <w:next w:val="Normal"/>
    <w:qFormat/>
    <w:pPr>
      <w:keepNext w:val="true"/>
      <w:keepLines/>
      <w:numPr>
        <w:ilvl w:val="1"/>
        <w:numId w:val="1"/>
      </w:numPr>
      <w:spacing w:lineRule="auto" w:line="276" w:before="200" w:after="0"/>
      <w:outlineLvl w:val="1"/>
    </w:pPr>
    <w:rPr>
      <w:rFonts w:ascii="Calibri Light" w:hAnsi="Calibri Light" w:cs="Calibri Light"/>
      <w:color w:val="2E74B5"/>
      <w:sz w:val="26"/>
      <w:szCs w:val="26"/>
    </w:rPr>
  </w:style>
  <w:style w:type="paragraph" w:styleId="Heading3">
    <w:name w:val="Heading 3"/>
    <w:basedOn w:val="Normal"/>
    <w:next w:val="Normal"/>
    <w:qFormat/>
    <w:pPr>
      <w:keepNext w:val="true"/>
      <w:numPr>
        <w:ilvl w:val="2"/>
        <w:numId w:val="1"/>
      </w:numPr>
      <w:spacing w:lineRule="auto" w:line="276" w:before="240" w:after="60"/>
      <w:outlineLvl w:val="2"/>
    </w:pPr>
    <w:rPr>
      <w:rFonts w:ascii="Arial" w:hAnsi="Arial" w:eastAsia="Calibri" w:cs="Arial"/>
      <w:b/>
      <w:bCs/>
      <w:sz w:val="26"/>
      <w:szCs w:val="26"/>
    </w:rPr>
  </w:style>
  <w:style w:type="paragraph" w:styleId="Heading4">
    <w:name w:val="Heading 4"/>
    <w:basedOn w:val="Normal"/>
    <w:next w:val="Normal"/>
    <w:qFormat/>
    <w:pPr>
      <w:keepNext w:val="true"/>
      <w:numPr>
        <w:ilvl w:val="3"/>
        <w:numId w:val="1"/>
      </w:numPr>
      <w:spacing w:before="240" w:after="60"/>
      <w:outlineLvl w:val="3"/>
    </w:pPr>
    <w:rPr>
      <w:rFonts w:ascii="Calibri" w:hAnsi="Calibri" w:eastAsia="Times New Roman" w:cs="Times New Roman"/>
      <w:b/>
      <w:bCs/>
      <w:sz w:val="28"/>
      <w:szCs w:val="28"/>
    </w:rPr>
  </w:style>
  <w:style w:type="paragraph" w:styleId="Heading5">
    <w:name w:val="Heading 5"/>
    <w:basedOn w:val="Normal"/>
    <w:next w:val="Normal"/>
    <w:qFormat/>
    <w:pPr>
      <w:keepNext w:val="true"/>
      <w:numPr>
        <w:ilvl w:val="4"/>
        <w:numId w:val="1"/>
      </w:numPr>
      <w:suppressAutoHyphens w:val="true"/>
      <w:spacing w:before="240" w:after="240"/>
      <w:outlineLvl w:val="4"/>
    </w:pPr>
    <w:rPr>
      <w:rFonts w:ascii="Arial" w:hAnsi="Arial" w:cs="Arial"/>
      <w:b/>
      <w:sz w:val="28"/>
      <w:szCs w:val="20"/>
    </w:rPr>
  </w:style>
  <w:style w:type="paragraph" w:styleId="Heading7">
    <w:name w:val="Heading 7"/>
    <w:basedOn w:val="Normal"/>
    <w:next w:val="Normal"/>
    <w:qFormat/>
    <w:pPr>
      <w:numPr>
        <w:ilvl w:val="6"/>
        <w:numId w:val="1"/>
      </w:numPr>
      <w:spacing w:before="240" w:after="60"/>
      <w:outlineLvl w:val="6"/>
    </w:pPr>
    <w:rPr>
      <w:rFonts w:ascii="Calibri" w:hAnsi="Calibri" w:eastAsia="Times New Roman" w:cs="Times New Roman"/>
      <w:sz w:val="24"/>
      <w:szCs w:val="24"/>
    </w:rPr>
  </w:style>
  <w:style w:type="character" w:styleId="WW8Num1z0">
    <w:name w:val="WW8Num1z0"/>
    <w:qFormat/>
    <w:rPr>
      <w:rFonts w:ascii="Symbol" w:hAnsi="Symbol" w:cs="Symbol"/>
      <w:b/>
      <w:i w:val="false"/>
      <w:sz w:val="24"/>
    </w:rPr>
  </w:style>
  <w:style w:type="character" w:styleId="WW8Num1z1">
    <w:name w:val="WW8Num1z1"/>
    <w:qFormat/>
    <w:rPr>
      <w:rFonts w:cs="Times New Roman"/>
    </w:rPr>
  </w:style>
  <w:style w:type="character" w:styleId="WW8Num2z0">
    <w:name w:val="WW8Num2z0"/>
    <w:qFormat/>
    <w:rPr>
      <w:rFonts w:ascii="Symbol" w:hAnsi="Symbol" w:cs="Symbol"/>
      <w:color w:val="000000"/>
      <w:sz w:val="24"/>
    </w:rPr>
  </w:style>
  <w:style w:type="character" w:styleId="WW8Num2z1">
    <w:name w:val="WW8Num2z1"/>
    <w:qFormat/>
    <w:rPr>
      <w:rFonts w:cs="Times New Roman"/>
    </w:rPr>
  </w:style>
  <w:style w:type="character" w:styleId="WW8Num3z0">
    <w:name w:val="WW8Num3z0"/>
    <w:qFormat/>
    <w:rPr>
      <w:rFonts w:ascii="Symbol" w:hAnsi="Symbol" w:cs="Symbol"/>
      <w:color w:val="000000"/>
      <w:sz w:val="24"/>
    </w:rPr>
  </w:style>
  <w:style w:type="character" w:styleId="WW8Num3z1">
    <w:name w:val="WW8Num3z1"/>
    <w:qFormat/>
    <w:rPr>
      <w:rFonts w:cs="Times New Roman"/>
    </w:rPr>
  </w:style>
  <w:style w:type="character" w:styleId="WW8Num4z0">
    <w:name w:val="WW8Num4z0"/>
    <w:qFormat/>
    <w:rPr>
      <w:rFonts w:cs="Times New Roman"/>
      <w:color w:val="000000"/>
      <w:sz w:val="24"/>
      <w:szCs w:val="24"/>
    </w:rPr>
  </w:style>
  <w:style w:type="character" w:styleId="WW8Num4z1">
    <w:name w:val="WW8Num4z1"/>
    <w:qFormat/>
    <w:rPr>
      <w:rFonts w:cs="Times New Roman"/>
    </w:rPr>
  </w:style>
  <w:style w:type="character" w:styleId="WW8Num5z0">
    <w:name w:val="WW8Num5z0"/>
    <w:qFormat/>
    <w:rPr>
      <w:rFonts w:ascii="Symbol" w:hAnsi="Symbol" w:cs="Symbol"/>
      <w:color w:val="000000"/>
      <w:sz w:val="24"/>
    </w:rPr>
  </w:style>
  <w:style w:type="character" w:styleId="WW8Num5z1">
    <w:name w:val="WW8Num5z1"/>
    <w:qFormat/>
    <w:rPr>
      <w:rFonts w:cs="Times New Roman"/>
    </w:rPr>
  </w:style>
  <w:style w:type="character" w:styleId="WW8Num6z0">
    <w:name w:val="WW8Num6z0"/>
    <w:qFormat/>
    <w:rPr>
      <w:rFonts w:ascii="Symbol" w:hAnsi="Symbol" w:cs="Symbol"/>
      <w:sz w:val="24"/>
      <w:szCs w:val="24"/>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Symbol" w:hAnsi="Symbol" w:cs="Symbol"/>
      <w:color w:val="000000"/>
      <w:sz w:val="20"/>
    </w:rPr>
  </w:style>
  <w:style w:type="character" w:styleId="WW8Num8z1">
    <w:name w:val="WW8Num8z1"/>
    <w:qFormat/>
    <w:rPr>
      <w:rFonts w:ascii="Courier New" w:hAnsi="Courier New" w:cs="Courier New"/>
      <w:sz w:val="20"/>
    </w:rPr>
  </w:style>
  <w:style w:type="character" w:styleId="WW8Num8z2">
    <w:name w:val="WW8Num8z2"/>
    <w:qFormat/>
    <w:rPr>
      <w:rFonts w:ascii="Wingdings" w:hAnsi="Wingdings" w:cs="Wingdings"/>
      <w:sz w:val="20"/>
    </w:rPr>
  </w:style>
  <w:style w:type="character" w:styleId="WW8Num8z3">
    <w:name w:val="WW8Num8z3"/>
    <w:qFormat/>
    <w:rPr>
      <w:rFonts w:cs="Times New Roman"/>
    </w:rPr>
  </w:style>
  <w:style w:type="character" w:styleId="WW8Num9z0">
    <w:name w:val="WW8Num9z0"/>
    <w:qFormat/>
    <w:rPr>
      <w:rFonts w:ascii="Symbol" w:hAnsi="Symbol" w:cs="Symbol"/>
      <w:color w:val="000000"/>
      <w:spacing w:val="6"/>
      <w:sz w:val="24"/>
    </w:rPr>
  </w:style>
  <w:style w:type="character" w:styleId="WW8Num9z1">
    <w:name w:val="WW8Num9z1"/>
    <w:qFormat/>
    <w:rPr>
      <w:rFonts w:cs="Times New Roman"/>
    </w:rPr>
  </w:style>
  <w:style w:type="character" w:styleId="WW8Num10z0">
    <w:name w:val="WW8Num10z0"/>
    <w:qFormat/>
    <w:rPr>
      <w:rFonts w:cs="Times New Roman"/>
    </w:rPr>
  </w:style>
  <w:style w:type="character" w:styleId="WW8Num11z0">
    <w:name w:val="WW8Num11z0"/>
    <w:qFormat/>
    <w:rPr>
      <w:rFonts w:eastAsia="Calibri"/>
      <w:color w:val="000000"/>
      <w:sz w:val="24"/>
      <w:szCs w:val="24"/>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Symbol" w:hAnsi="Symbol" w:cs="Symbol"/>
      <w:sz w:val="24"/>
    </w:rPr>
  </w:style>
  <w:style w:type="character" w:styleId="WW8Num12z1">
    <w:name w:val="WW8Num12z1"/>
    <w:qFormat/>
    <w:rPr>
      <w:rFonts w:cs="Times New Roman"/>
    </w:rPr>
  </w:style>
  <w:style w:type="character" w:styleId="WW8Num13z0">
    <w:name w:val="WW8Num13z0"/>
    <w:qFormat/>
    <w:rPr>
      <w:rFonts w:ascii="Symbol" w:hAnsi="Symbol" w:cs="Symbol"/>
      <w:color w:val="000000"/>
      <w:sz w:val="24"/>
    </w:rPr>
  </w:style>
  <w:style w:type="character" w:styleId="WW8Num13z1">
    <w:name w:val="WW8Num13z1"/>
    <w:qFormat/>
    <w:rPr>
      <w:rFonts w:cs="Times New Roman"/>
    </w:rPr>
  </w:style>
  <w:style w:type="character" w:styleId="WW8Num14z0">
    <w:name w:val="WW8Num14z0"/>
    <w:qFormat/>
    <w:rPr>
      <w:rFonts w:ascii="Times New Roman" w:hAnsi="Times New Roman" w:cs="Times New Roman"/>
      <w:b w:val="false"/>
      <w:sz w:val="24"/>
      <w:szCs w:val="24"/>
      <w:lang w:eastAsia="ru-RU"/>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eastAsia="Calibri"/>
      <w:color w:val="000000"/>
      <w:sz w:val="24"/>
      <w:szCs w:val="24"/>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Symbol" w:hAnsi="Symbol" w:cs="Symbol"/>
      <w:color w:val="000000"/>
      <w:sz w:val="24"/>
      <w:szCs w:val="24"/>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eastAsia="Calibri"/>
      <w:sz w:val="24"/>
      <w:szCs w:val="24"/>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Symbol" w:hAnsi="Symbol" w:cs="Symbol"/>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1z0">
    <w:name w:val="WW8Num21z0"/>
    <w:qFormat/>
    <w:rPr>
      <w:rFonts w:eastAsia="Calibri"/>
      <w:color w:val="333333"/>
      <w:highlight w:val="yellow"/>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rFonts w:eastAsia="Calibri"/>
      <w:color w:val="000000"/>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ascii="Symbol" w:hAnsi="Symbol" w:cs="Symbol"/>
      <w:color w:val="000000"/>
      <w:sz w:val="24"/>
    </w:rPr>
  </w:style>
  <w:style w:type="character" w:styleId="WW8Num24z1">
    <w:name w:val="WW8Num24z1"/>
    <w:qFormat/>
    <w:rPr>
      <w:rFonts w:cs="Times New Roman"/>
    </w:rPr>
  </w:style>
  <w:style w:type="character" w:styleId="WW8Num25z0">
    <w:name w:val="WW8Num25z0"/>
    <w:qFormat/>
    <w:rPr>
      <w:rFonts w:ascii="Symbol" w:hAnsi="Symbol" w:cs="Symbol"/>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rFonts w:ascii="Symbol" w:hAnsi="Symbol" w:eastAsia="Calibri" w:cs="Symbol"/>
      <w:color w:val="000000"/>
      <w:sz w:val="24"/>
      <w:szCs w:val="24"/>
      <w:lang w:eastAsia="en-US"/>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rFonts w:ascii="Symbol" w:hAnsi="Symbol" w:cs="Symbol"/>
      <w:color w:val="000000"/>
      <w:sz w:val="24"/>
    </w:rPr>
  </w:style>
  <w:style w:type="character" w:styleId="WW8Num27z1">
    <w:name w:val="WW8Num27z1"/>
    <w:qFormat/>
    <w:rPr>
      <w:rFonts w:cs="Times New Roman"/>
    </w:rPr>
  </w:style>
  <w:style w:type="character" w:styleId="WW8Num28z0">
    <w:name w:val="WW8Num28z0"/>
    <w:qFormat/>
    <w:rPr>
      <w:rFonts w:ascii="Times New Roman" w:hAnsi="Times New Roman" w:eastAsia="Times New Roman" w:cs="Times New Roman"/>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8z3">
    <w:name w:val="WW8Num28z3"/>
    <w:qFormat/>
    <w:rPr>
      <w:rFonts w:ascii="Symbol" w:hAnsi="Symbol" w:cs="Symbol"/>
    </w:rPr>
  </w:style>
  <w:style w:type="character" w:styleId="WW8Num29z0">
    <w:name w:val="WW8Num29z0"/>
    <w:qFormat/>
    <w:rPr>
      <w:rFonts w:cs="Times New Roman"/>
    </w:rPr>
  </w:style>
  <w:style w:type="character" w:styleId="WW8Num30z0">
    <w:name w:val="WW8Num30z0"/>
    <w:qFormat/>
    <w:rPr>
      <w:rFonts w:eastAsia="Calibri"/>
      <w:sz w:val="22"/>
      <w:lang w:eastAsia="en-US"/>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rFonts w:ascii="Symbol" w:hAnsi="Symbol" w:cs="Symbol"/>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2z0">
    <w:name w:val="WW8Num32z0"/>
    <w:qFormat/>
    <w:rPr>
      <w:rFonts w:ascii="Times New Roman" w:hAnsi="Times New Roman" w:cs="Times New Roman"/>
      <w:color w:val="000000"/>
      <w:sz w:val="24"/>
    </w:rPr>
  </w:style>
  <w:style w:type="character" w:styleId="WW8Num32z1">
    <w:name w:val="WW8Num32z1"/>
    <w:qFormat/>
    <w:rPr>
      <w:rFonts w:cs="Times New Roman"/>
    </w:rPr>
  </w:style>
  <w:style w:type="character" w:styleId="WW8Num33z0">
    <w:name w:val="WW8Num33z0"/>
    <w:qFormat/>
    <w:rPr>
      <w:rFonts w:ascii="Times New Roman" w:hAnsi="Times New Roman" w:eastAsia="PTSerif-Regular;MS Mincho" w:cs="Times New Roman"/>
      <w:bCs/>
      <w:iCs/>
      <w:color w:val="000000"/>
      <w:sz w:val="24"/>
      <w:szCs w:val="24"/>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rFonts w:ascii="Symbol" w:hAnsi="Symbol" w:cs="Symbol"/>
      <w:sz w:val="24"/>
    </w:rPr>
  </w:style>
  <w:style w:type="character" w:styleId="WW8Num34z1">
    <w:name w:val="WW8Num34z1"/>
    <w:qFormat/>
    <w:rPr>
      <w:rFonts w:cs="Times New Roman"/>
    </w:rPr>
  </w:style>
  <w:style w:type="character" w:styleId="WW8Num35z0">
    <w:name w:val="WW8Num35z0"/>
    <w:qFormat/>
    <w:rPr>
      <w:rFonts w:ascii="Times New Roman" w:hAnsi="Times New Roman" w:eastAsia="Calibri" w:cs="Times New Roman"/>
      <w:b w:val="false"/>
      <w:color w:val="000000"/>
      <w:sz w:val="28"/>
      <w:szCs w:val="28"/>
      <w:lang w:eastAsia="en-US"/>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6z0">
    <w:name w:val="WW8Num36z0"/>
    <w:qFormat/>
    <w:rPr>
      <w:rFonts w:ascii="Symbol" w:hAnsi="Symbol" w:cs="Symbol"/>
      <w:color w:val="000000"/>
      <w:sz w:val="24"/>
      <w:szCs w:val="24"/>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7z0">
    <w:name w:val="WW8Num37z0"/>
    <w:qFormat/>
    <w:rPr>
      <w:rFonts w:ascii="Symbol" w:hAnsi="Symbol" w:cs="Symbol"/>
      <w:color w:val="000000"/>
      <w:sz w:val="24"/>
    </w:rPr>
  </w:style>
  <w:style w:type="character" w:styleId="WW8Num37z1">
    <w:name w:val="WW8Num37z1"/>
    <w:qFormat/>
    <w:rPr>
      <w:rFonts w:cs="Times New Roman"/>
    </w:rPr>
  </w:style>
  <w:style w:type="character" w:styleId="WW8Num38z0">
    <w:name w:val="WW8Num38z0"/>
    <w:qFormat/>
    <w:rPr>
      <w:b/>
      <w:bCs/>
      <w:sz w:val="28"/>
      <w:szCs w:val="28"/>
    </w:rPr>
  </w:style>
  <w:style w:type="character" w:styleId="WW8Num38z1">
    <w:name w:val="WW8Num38z1"/>
    <w:qFormat/>
    <w:rPr/>
  </w:style>
  <w:style w:type="character" w:styleId="WW8Num38z2">
    <w:name w:val="WW8Num38z2"/>
    <w:qFormat/>
    <w:rPr/>
  </w:style>
  <w:style w:type="character" w:styleId="WW8Num38z3">
    <w:name w:val="WW8Num38z3"/>
    <w:qFormat/>
    <w:rPr/>
  </w:style>
  <w:style w:type="character" w:styleId="WW8Num38z4">
    <w:name w:val="WW8Num38z4"/>
    <w:qFormat/>
    <w:rPr/>
  </w:style>
  <w:style w:type="character" w:styleId="WW8Num38z5">
    <w:name w:val="WW8Num38z5"/>
    <w:qFormat/>
    <w:rPr/>
  </w:style>
  <w:style w:type="character" w:styleId="WW8Num38z6">
    <w:name w:val="WW8Num38z6"/>
    <w:qFormat/>
    <w:rPr/>
  </w:style>
  <w:style w:type="character" w:styleId="WW8Num38z7">
    <w:name w:val="WW8Num38z7"/>
    <w:qFormat/>
    <w:rPr/>
  </w:style>
  <w:style w:type="character" w:styleId="WW8Num38z8">
    <w:name w:val="WW8Num38z8"/>
    <w:qFormat/>
    <w:rPr/>
  </w:style>
  <w:style w:type="character" w:styleId="WW8Num39z0">
    <w:name w:val="WW8Num39z0"/>
    <w:qFormat/>
    <w:rPr>
      <w:rFonts w:ascii="Symbol" w:hAnsi="Symbol" w:cs="Symbol"/>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40z0">
    <w:name w:val="WW8Num40z0"/>
    <w:qFormat/>
    <w:rPr>
      <w:rFonts w:ascii="Symbol" w:hAnsi="Symbol" w:cs="Symbol"/>
      <w:color w:val="000000"/>
      <w:sz w:val="24"/>
      <w:szCs w:val="24"/>
    </w:rPr>
  </w:style>
  <w:style w:type="character" w:styleId="WW8Num40z1">
    <w:name w:val="WW8Num40z1"/>
    <w:qFormat/>
    <w:rPr>
      <w:rFonts w:ascii="Courier New" w:hAnsi="Courier New" w:cs="Courier New"/>
    </w:rPr>
  </w:style>
  <w:style w:type="character" w:styleId="WW8Num40z2">
    <w:name w:val="WW8Num40z2"/>
    <w:qFormat/>
    <w:rPr>
      <w:rFonts w:ascii="Wingdings" w:hAnsi="Wingdings" w:cs="Wingdings"/>
    </w:rPr>
  </w:style>
  <w:style w:type="character" w:styleId="WW8Num41z0">
    <w:name w:val="WW8Num41z0"/>
    <w:qFormat/>
    <w:rPr>
      <w:rFonts w:ascii="Symbol" w:hAnsi="Symbol" w:cs="Symbol"/>
    </w:rPr>
  </w:style>
  <w:style w:type="character" w:styleId="WW8Num41z1">
    <w:name w:val="WW8Num41z1"/>
    <w:qFormat/>
    <w:rPr>
      <w:rFonts w:ascii="Courier New" w:hAnsi="Courier New" w:cs="Courier New"/>
    </w:rPr>
  </w:style>
  <w:style w:type="character" w:styleId="WW8Num41z2">
    <w:name w:val="WW8Num41z2"/>
    <w:qFormat/>
    <w:rPr>
      <w:rFonts w:ascii="Wingdings" w:hAnsi="Wingdings" w:cs="Wingdings"/>
    </w:rPr>
  </w:style>
  <w:style w:type="character" w:styleId="WW8Num42z0">
    <w:name w:val="WW8Num42z0"/>
    <w:qFormat/>
    <w:rPr>
      <w:rFonts w:ascii="Symbol" w:hAnsi="Symbol" w:cs="Symbol"/>
      <w:color w:val="000000"/>
      <w:sz w:val="24"/>
    </w:rPr>
  </w:style>
  <w:style w:type="character" w:styleId="WW8Num42z1">
    <w:name w:val="WW8Num42z1"/>
    <w:qFormat/>
    <w:rPr>
      <w:rFonts w:cs="Times New Roman"/>
    </w:rPr>
  </w:style>
  <w:style w:type="character" w:styleId="WW8Num43z0">
    <w:name w:val="WW8Num43z0"/>
    <w:qFormat/>
    <w:rPr>
      <w:rFonts w:ascii="Symbol" w:hAnsi="Symbol" w:cs="Symbol"/>
      <w:b/>
      <w:color w:val="000000"/>
      <w:sz w:val="24"/>
    </w:rPr>
  </w:style>
  <w:style w:type="character" w:styleId="WW8Num43z1">
    <w:name w:val="WW8Num43z1"/>
    <w:qFormat/>
    <w:rPr>
      <w:rFonts w:cs="Times New Roman"/>
    </w:rPr>
  </w:style>
  <w:style w:type="character" w:styleId="WW8Num44z0">
    <w:name w:val="WW8Num44z0"/>
    <w:qFormat/>
    <w:rPr>
      <w:rFonts w:ascii="Symbol" w:hAnsi="Symbol" w:cs="Symbol"/>
      <w:sz w:val="24"/>
      <w:szCs w:val="24"/>
    </w:rPr>
  </w:style>
  <w:style w:type="character" w:styleId="WW8Num44z1">
    <w:name w:val="WW8Num44z1"/>
    <w:qFormat/>
    <w:rPr>
      <w:rFonts w:ascii="Courier New" w:hAnsi="Courier New" w:cs="Courier New"/>
    </w:rPr>
  </w:style>
  <w:style w:type="character" w:styleId="WW8Num44z2">
    <w:name w:val="WW8Num44z2"/>
    <w:qFormat/>
    <w:rPr>
      <w:rFonts w:ascii="Wingdings" w:hAnsi="Wingdings" w:cs="Wingdings"/>
    </w:rPr>
  </w:style>
  <w:style w:type="character" w:styleId="WW8Num45z0">
    <w:name w:val="WW8Num45z0"/>
    <w:qFormat/>
    <w:rPr>
      <w:rFonts w:ascii="Symbol" w:hAnsi="Symbol" w:cs="Symbol"/>
      <w:color w:val="000000"/>
      <w:sz w:val="24"/>
    </w:rPr>
  </w:style>
  <w:style w:type="character" w:styleId="WW8Num45z1">
    <w:name w:val="WW8Num45z1"/>
    <w:qFormat/>
    <w:rPr>
      <w:rFonts w:cs="Times New Roman"/>
    </w:rPr>
  </w:style>
  <w:style w:type="character" w:styleId="WW8Num46z0">
    <w:name w:val="WW8Num46z0"/>
    <w:qFormat/>
    <w:rPr>
      <w:rFonts w:ascii="Symbol" w:hAnsi="Symbol" w:cs="Symbol"/>
    </w:rPr>
  </w:style>
  <w:style w:type="character" w:styleId="WW8Num46z1">
    <w:name w:val="WW8Num46z1"/>
    <w:qFormat/>
    <w:rPr>
      <w:rFonts w:ascii="Courier New" w:hAnsi="Courier New" w:cs="Courier New"/>
    </w:rPr>
  </w:style>
  <w:style w:type="character" w:styleId="WW8Num46z2">
    <w:name w:val="WW8Num46z2"/>
    <w:qFormat/>
    <w:rPr>
      <w:rFonts w:ascii="Wingdings" w:hAnsi="Wingdings" w:cs="Wingdings"/>
    </w:rPr>
  </w:style>
  <w:style w:type="character" w:styleId="WW8Num47z0">
    <w:name w:val="WW8Num47z0"/>
    <w:qFormat/>
    <w:rPr/>
  </w:style>
  <w:style w:type="character" w:styleId="WW8Num47z1">
    <w:name w:val="WW8Num47z1"/>
    <w:qFormat/>
    <w:rPr/>
  </w:style>
  <w:style w:type="character" w:styleId="WW8Num47z2">
    <w:name w:val="WW8Num47z2"/>
    <w:qFormat/>
    <w:rPr/>
  </w:style>
  <w:style w:type="character" w:styleId="WW8Num47z3">
    <w:name w:val="WW8Num47z3"/>
    <w:qFormat/>
    <w:rPr/>
  </w:style>
  <w:style w:type="character" w:styleId="WW8Num47z4">
    <w:name w:val="WW8Num47z4"/>
    <w:qFormat/>
    <w:rPr/>
  </w:style>
  <w:style w:type="character" w:styleId="WW8Num47z5">
    <w:name w:val="WW8Num47z5"/>
    <w:qFormat/>
    <w:rPr/>
  </w:style>
  <w:style w:type="character" w:styleId="WW8Num47z6">
    <w:name w:val="WW8Num47z6"/>
    <w:qFormat/>
    <w:rPr/>
  </w:style>
  <w:style w:type="character" w:styleId="WW8Num47z7">
    <w:name w:val="WW8Num47z7"/>
    <w:qFormat/>
    <w:rPr/>
  </w:style>
  <w:style w:type="character" w:styleId="WW8Num47z8">
    <w:name w:val="WW8Num47z8"/>
    <w:qFormat/>
    <w:rPr/>
  </w:style>
  <w:style w:type="character" w:styleId="WW8Num48z0">
    <w:name w:val="WW8Num48z0"/>
    <w:qFormat/>
    <w:rPr>
      <w:rFonts w:cs="Times New Roman"/>
    </w:rPr>
  </w:style>
  <w:style w:type="character" w:styleId="WW8Num49z0">
    <w:name w:val="WW8Num49z0"/>
    <w:qFormat/>
    <w:rPr>
      <w:rFonts w:cs="Times New Roman"/>
      <w:b w:val="false"/>
      <w:sz w:val="28"/>
      <w:szCs w:val="28"/>
    </w:rPr>
  </w:style>
  <w:style w:type="character" w:styleId="WW8Num49z1">
    <w:name w:val="WW8Num49z1"/>
    <w:qFormat/>
    <w:rPr>
      <w:rFonts w:cs="Times New Roman"/>
    </w:rPr>
  </w:style>
  <w:style w:type="character" w:styleId="WW8Num50z0">
    <w:name w:val="WW8Num50z0"/>
    <w:qFormat/>
    <w:rPr/>
  </w:style>
  <w:style w:type="character" w:styleId="WW8Num50z1">
    <w:name w:val="WW8Num50z1"/>
    <w:qFormat/>
    <w:rPr/>
  </w:style>
  <w:style w:type="character" w:styleId="WW8Num50z2">
    <w:name w:val="WW8Num50z2"/>
    <w:qFormat/>
    <w:rPr/>
  </w:style>
  <w:style w:type="character" w:styleId="WW8Num50z3">
    <w:name w:val="WW8Num50z3"/>
    <w:qFormat/>
    <w:rPr/>
  </w:style>
  <w:style w:type="character" w:styleId="WW8Num50z4">
    <w:name w:val="WW8Num50z4"/>
    <w:qFormat/>
    <w:rPr/>
  </w:style>
  <w:style w:type="character" w:styleId="WW8Num50z5">
    <w:name w:val="WW8Num50z5"/>
    <w:qFormat/>
    <w:rPr/>
  </w:style>
  <w:style w:type="character" w:styleId="WW8Num50z6">
    <w:name w:val="WW8Num50z6"/>
    <w:qFormat/>
    <w:rPr/>
  </w:style>
  <w:style w:type="character" w:styleId="WW8Num50z7">
    <w:name w:val="WW8Num50z7"/>
    <w:qFormat/>
    <w:rPr/>
  </w:style>
  <w:style w:type="character" w:styleId="WW8Num50z8">
    <w:name w:val="WW8Num50z8"/>
    <w:qFormat/>
    <w:rPr/>
  </w:style>
  <w:style w:type="character" w:styleId="Style8">
    <w:name w:val="Основной шрифт абзаца"/>
    <w:qFormat/>
    <w:rPr/>
  </w:style>
  <w:style w:type="character" w:styleId="ListParagraphChar">
    <w:name w:val="List Paragraph Char"/>
    <w:qFormat/>
    <w:rPr>
      <w:rFonts w:ascii="Calibri" w:hAnsi="Calibri" w:cs="Calibri"/>
      <w:sz w:val="22"/>
      <w:szCs w:val="22"/>
      <w:lang w:val="ru-RU" w:bidi="ar-SA"/>
    </w:rPr>
  </w:style>
  <w:style w:type="character" w:styleId="Style9">
    <w:name w:val="Основной текст с отступом Знак"/>
    <w:qFormat/>
    <w:rPr>
      <w:rFonts w:ascii="Calibri" w:hAnsi="Calibri" w:cs="Calibri"/>
      <w:lang w:val="ru-RU" w:bidi="ar-SA"/>
    </w:rPr>
  </w:style>
  <w:style w:type="character" w:styleId="Style10">
    <w:name w:val="А_основной Знак"/>
    <w:qFormat/>
    <w:rPr>
      <w:sz w:val="28"/>
      <w:lang w:val="en-US" w:bidi="ar-SA"/>
    </w:rPr>
  </w:style>
  <w:style w:type="character" w:styleId="PageNumber">
    <w:name w:val="Page Number"/>
    <w:basedOn w:val="Style8"/>
    <w:rPr/>
  </w:style>
  <w:style w:type="character" w:styleId="1">
    <w:name w:val="Заголовок 1 Знак"/>
    <w:qFormat/>
    <w:rPr>
      <w:rFonts w:ascii="Cambria" w:hAnsi="Cambria" w:cs="Cambria"/>
      <w:b/>
      <w:bCs/>
      <w:kern w:val="2"/>
      <w:sz w:val="32"/>
      <w:szCs w:val="32"/>
    </w:rPr>
  </w:style>
  <w:style w:type="character" w:styleId="2">
    <w:name w:val="Заголовок 2 Знак"/>
    <w:qFormat/>
    <w:rPr>
      <w:rFonts w:ascii="Calibri Light" w:hAnsi="Calibri Light" w:cs="Calibri Light"/>
      <w:color w:val="2E74B5"/>
      <w:sz w:val="26"/>
      <w:szCs w:val="26"/>
    </w:rPr>
  </w:style>
  <w:style w:type="character" w:styleId="3">
    <w:name w:val="Заголовок 3 Знак"/>
    <w:qFormat/>
    <w:rPr>
      <w:rFonts w:ascii="Arial" w:hAnsi="Arial" w:eastAsia="Calibri" w:cs="Arial"/>
      <w:b/>
      <w:bCs/>
      <w:sz w:val="26"/>
      <w:szCs w:val="26"/>
    </w:rPr>
  </w:style>
  <w:style w:type="character" w:styleId="21">
    <w:name w:val="Основной текст 2 Знак"/>
    <w:qFormat/>
    <w:rPr>
      <w:rFonts w:ascii="Arial" w:hAnsi="Arial" w:cs="Arial"/>
      <w:sz w:val="18"/>
    </w:rPr>
  </w:style>
  <w:style w:type="character" w:styleId="11">
    <w:name w:val="Гиперссылка1"/>
    <w:qFormat/>
    <w:rPr>
      <w:rFonts w:cs="Times New Roman"/>
      <w:color w:val="0563C1"/>
      <w:u w:val="single"/>
    </w:rPr>
  </w:style>
  <w:style w:type="character" w:styleId="Style11">
    <w:name w:val="Текст выноски Знак"/>
    <w:qFormat/>
    <w:rPr>
      <w:rFonts w:ascii="Tahoma" w:hAnsi="Tahoma" w:eastAsia="Calibri" w:cs="Tahoma"/>
      <w:sz w:val="16"/>
      <w:szCs w:val="16"/>
    </w:rPr>
  </w:style>
  <w:style w:type="character" w:styleId="211">
    <w:name w:val="Заголовок 2 Знак1"/>
    <w:qFormat/>
    <w:rPr>
      <w:rFonts w:ascii="Cambria" w:hAnsi="Cambria" w:cs="Times New Roman"/>
      <w:b/>
      <w:bCs/>
      <w:color w:val="4F81BD"/>
      <w:sz w:val="26"/>
      <w:szCs w:val="26"/>
    </w:rPr>
  </w:style>
  <w:style w:type="character" w:styleId="InternetLink">
    <w:name w:val="Hyperlink"/>
    <w:rPr>
      <w:rFonts w:cs="Times New Roman"/>
      <w:color w:val="0000FF"/>
      <w:u w:val="single"/>
    </w:rPr>
  </w:style>
  <w:style w:type="character" w:styleId="Style12">
    <w:name w:val="Абзац списка Знак"/>
    <w:qFormat/>
    <w:rPr>
      <w:rFonts w:ascii="Calibri" w:hAnsi="Calibri" w:eastAsia="Calibri" w:cs="Calibri"/>
      <w:sz w:val="22"/>
    </w:rPr>
  </w:style>
  <w:style w:type="character" w:styleId="S3">
    <w:name w:val="s3"/>
    <w:qFormat/>
    <w:rPr/>
  </w:style>
  <w:style w:type="character" w:styleId="12">
    <w:name w:val="Основной шрифт абзаца1"/>
    <w:qFormat/>
    <w:rPr/>
  </w:style>
  <w:style w:type="character" w:styleId="Style13">
    <w:name w:val="Основной текст Знак"/>
    <w:qFormat/>
    <w:rPr>
      <w:rFonts w:ascii="Calibri" w:hAnsi="Calibri" w:eastAsia="Calibri" w:cs="Calibri"/>
      <w:sz w:val="22"/>
      <w:szCs w:val="22"/>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7z2">
    <w:name w:val="WW8Num27z2"/>
    <w:qFormat/>
    <w:rPr>
      <w:rFonts w:ascii="Wingdings" w:hAnsi="Wingdings" w:cs="Wingdings"/>
      <w:sz w:val="20"/>
    </w:rPr>
  </w:style>
  <w:style w:type="character" w:styleId="WW8Num29z1">
    <w:name w:val="WW8Num29z1"/>
    <w:qFormat/>
    <w:rPr/>
  </w:style>
  <w:style w:type="character" w:styleId="WW8Num29z2">
    <w:name w:val="WW8Num29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9z3">
    <w:name w:val="WW8Num39z3"/>
    <w:qFormat/>
    <w:rPr/>
  </w:style>
  <w:style w:type="character" w:styleId="WW8Num39z4">
    <w:name w:val="WW8Num39z4"/>
    <w:qFormat/>
    <w:rPr/>
  </w:style>
  <w:style w:type="character" w:styleId="WW8Num39z5">
    <w:name w:val="WW8Num39z5"/>
    <w:qFormat/>
    <w:rPr/>
  </w:style>
  <w:style w:type="character" w:styleId="WW8Num39z6">
    <w:name w:val="WW8Num39z6"/>
    <w:qFormat/>
    <w:rPr/>
  </w:style>
  <w:style w:type="character" w:styleId="WW8Num39z7">
    <w:name w:val="WW8Num39z7"/>
    <w:qFormat/>
    <w:rPr/>
  </w:style>
  <w:style w:type="character" w:styleId="WW8Num39z8">
    <w:name w:val="WW8Num39z8"/>
    <w:qFormat/>
    <w:rPr/>
  </w:style>
  <w:style w:type="character" w:styleId="BulletSymbols">
    <w:name w:val="Bullet Symbols"/>
    <w:qFormat/>
    <w:rPr>
      <w:rFonts w:ascii="OpenSymbol, 'Arial Unicode MS'" w:hAnsi="OpenSymbol, 'Arial Unicode MS'" w:cs="OpenSymbol, 'Arial Unicode MS'"/>
    </w:rPr>
  </w:style>
  <w:style w:type="character" w:styleId="Appleconvertedspace">
    <w:name w:val="apple-converted-space"/>
    <w:qFormat/>
    <w:rPr/>
  </w:style>
  <w:style w:type="character" w:styleId="NumberingSymbols">
    <w:name w:val="Numbering Symbols"/>
    <w:qFormat/>
    <w:rPr/>
  </w:style>
  <w:style w:type="character" w:styleId="C16">
    <w:name w:val="c16"/>
    <w:qFormat/>
    <w:rPr/>
  </w:style>
  <w:style w:type="character" w:styleId="C1">
    <w:name w:val="c1"/>
    <w:qFormat/>
    <w:rPr/>
  </w:style>
  <w:style w:type="character" w:styleId="C4">
    <w:name w:val="c4"/>
    <w:qFormat/>
    <w:rPr/>
  </w:style>
  <w:style w:type="character" w:styleId="FontStyle41">
    <w:name w:val="Font Style41"/>
    <w:qFormat/>
    <w:rPr>
      <w:rFonts w:ascii="Times New Roman" w:hAnsi="Times New Roman" w:cs="Times New Roman"/>
      <w:sz w:val="22"/>
    </w:rPr>
  </w:style>
  <w:style w:type="character" w:styleId="C3">
    <w:name w:val="c3"/>
    <w:qFormat/>
    <w:rPr/>
  </w:style>
  <w:style w:type="character" w:styleId="C6">
    <w:name w:val="c6"/>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43z2">
    <w:name w:val="WW8Num43z2"/>
    <w:qFormat/>
    <w:rPr/>
  </w:style>
  <w:style w:type="character" w:styleId="WW8Num43z3">
    <w:name w:val="WW8Num43z3"/>
    <w:qFormat/>
    <w:rPr/>
  </w:style>
  <w:style w:type="character" w:styleId="WW8Num43z4">
    <w:name w:val="WW8Num43z4"/>
    <w:qFormat/>
    <w:rPr/>
  </w:style>
  <w:style w:type="character" w:styleId="WW8Num43z5">
    <w:name w:val="WW8Num43z5"/>
    <w:qFormat/>
    <w:rPr/>
  </w:style>
  <w:style w:type="character" w:styleId="WW8Num43z6">
    <w:name w:val="WW8Num43z6"/>
    <w:qFormat/>
    <w:rPr/>
  </w:style>
  <w:style w:type="character" w:styleId="WW8Num43z7">
    <w:name w:val="WW8Num43z7"/>
    <w:qFormat/>
    <w:rPr/>
  </w:style>
  <w:style w:type="character" w:styleId="WW8Num43z8">
    <w:name w:val="WW8Num43z8"/>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34z2">
    <w:name w:val="WW8Num34z2"/>
    <w:qFormat/>
    <w:rPr/>
  </w:style>
  <w:style w:type="character" w:styleId="WW8Num34z3">
    <w:name w:val="WW8Num34z3"/>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51z0">
    <w:name w:val="WW8Num51z0"/>
    <w:qFormat/>
    <w:rPr>
      <w:rFonts w:ascii="Times New Roman" w:hAnsi="Times New Roman" w:cs="Times New Roman"/>
      <w:color w:val="000000"/>
      <w:sz w:val="24"/>
      <w:shd w:fill="FFFFFF" w:val="clear"/>
    </w:rPr>
  </w:style>
  <w:style w:type="character" w:styleId="WW8Num51z1">
    <w:name w:val="WW8Num51z1"/>
    <w:qFormat/>
    <w:rPr/>
  </w:style>
  <w:style w:type="character" w:styleId="WW8Num51z2">
    <w:name w:val="WW8Num51z2"/>
    <w:qFormat/>
    <w:rPr/>
  </w:style>
  <w:style w:type="character" w:styleId="WW8Num51z3">
    <w:name w:val="WW8Num51z3"/>
    <w:qFormat/>
    <w:rPr/>
  </w:style>
  <w:style w:type="character" w:styleId="WW8Num51z4">
    <w:name w:val="WW8Num51z4"/>
    <w:qFormat/>
    <w:rPr/>
  </w:style>
  <w:style w:type="character" w:styleId="WW8Num51z5">
    <w:name w:val="WW8Num51z5"/>
    <w:qFormat/>
    <w:rPr/>
  </w:style>
  <w:style w:type="character" w:styleId="WW8Num51z6">
    <w:name w:val="WW8Num51z6"/>
    <w:qFormat/>
    <w:rPr/>
  </w:style>
  <w:style w:type="character" w:styleId="WW8Num51z7">
    <w:name w:val="WW8Num51z7"/>
    <w:qFormat/>
    <w:rPr/>
  </w:style>
  <w:style w:type="character" w:styleId="WW8Num51z8">
    <w:name w:val="WW8Num51z8"/>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StrongEmphasis">
    <w:name w:val="Strong Emphasis"/>
    <w:qFormat/>
    <w:rPr>
      <w:rFonts w:cs="Times New Roman"/>
      <w:b/>
      <w:bCs/>
    </w:rPr>
  </w:style>
  <w:style w:type="character" w:styleId="Style14">
    <w:name w:val="Верхний колонтитул Знак"/>
    <w:qFormat/>
    <w:rPr>
      <w:rFonts w:ascii="Calibri" w:hAnsi="Calibri" w:eastAsia="Calibri" w:cs="Calibri"/>
      <w:sz w:val="22"/>
      <w:szCs w:val="22"/>
    </w:rPr>
  </w:style>
  <w:style w:type="character" w:styleId="Style15">
    <w:name w:val="Нижний колонтитул Знак"/>
    <w:qFormat/>
    <w:rPr>
      <w:sz w:val="22"/>
      <w:szCs w:val="22"/>
    </w:rPr>
  </w:style>
  <w:style w:type="character" w:styleId="22">
    <w:name w:val="Основной текст с отступом 2 Знак"/>
    <w:qFormat/>
    <w:rPr>
      <w:sz w:val="24"/>
      <w:szCs w:val="24"/>
    </w:rPr>
  </w:style>
  <w:style w:type="character" w:styleId="Style16">
    <w:name w:val="Маркеры списка"/>
    <w:qFormat/>
    <w:rPr>
      <w:rFonts w:ascii="OpenSymbol;Arial Unicode MS" w:hAnsi="OpenSymbol;Arial Unicode MS" w:eastAsia="OpenSymbol;Arial Unicode MS" w:cs="OpenSymbol;Arial Unicode MS"/>
    </w:rPr>
  </w:style>
  <w:style w:type="character" w:styleId="23">
    <w:name w:val="Основной шрифт абзаца2"/>
    <w:qFormat/>
    <w:rPr/>
  </w:style>
  <w:style w:type="character" w:styleId="Style17">
    <w:name w:val="Символ нумерации"/>
    <w:qFormat/>
    <w:rPr/>
  </w:style>
  <w:style w:type="character" w:styleId="VisitedInternetLink">
    <w:name w:val="FollowedHyperlink"/>
    <w:rPr>
      <w:color w:val="800080"/>
      <w:u w:val="single"/>
    </w:rPr>
  </w:style>
  <w:style w:type="character" w:styleId="Emphasis">
    <w:name w:val="Emphasis"/>
    <w:qFormat/>
    <w:rPr>
      <w:i/>
      <w:iCs/>
    </w:rPr>
  </w:style>
  <w:style w:type="character" w:styleId="Dash041e005f0431005f044b005f0447005f043d005f044b005f0439005f005fchar1char1">
    <w:name w:val="dash041e_005f0431_005f044b_005f0447_005f043d_005f044b_005f0439_005f_005fchar1__char1"/>
    <w:qFormat/>
    <w:rPr>
      <w:rFonts w:ascii="Times New Roman" w:hAnsi="Times New Roman" w:cs="Times New Roman"/>
      <w:strike w:val="false"/>
      <w:dstrike w:val="false"/>
      <w:sz w:val="24"/>
      <w:szCs w:val="24"/>
      <w:u w:val="none"/>
    </w:rPr>
  </w:style>
  <w:style w:type="character" w:styleId="Style18">
    <w:name w:val="Текст сноски Знак"/>
    <w:basedOn w:val="Style8"/>
    <w:qFormat/>
    <w:rPr/>
  </w:style>
  <w:style w:type="character" w:styleId="FootnoteCharacters">
    <w:name w:val="Footnote Characters"/>
    <w:qFormat/>
    <w:rPr>
      <w:vertAlign w:val="superscript"/>
    </w:rPr>
  </w:style>
  <w:style w:type="character" w:styleId="Default005f005fchar1char1">
    <w:name w:val="default_005f_005fchar1__char1"/>
    <w:qFormat/>
    <w:rPr>
      <w:rFonts w:ascii="Times New Roman" w:hAnsi="Times New Roman" w:cs="Times New Roman"/>
      <w:strike w:val="false"/>
      <w:dstrike w:val="false"/>
      <w:sz w:val="24"/>
      <w:szCs w:val="24"/>
      <w:u w:val="none"/>
    </w:rPr>
  </w:style>
  <w:style w:type="character" w:styleId="Butback">
    <w:name w:val="butback"/>
    <w:basedOn w:val="Style8"/>
    <w:qFormat/>
    <w:rPr/>
  </w:style>
  <w:style w:type="character" w:styleId="Submenutable">
    <w:name w:val="submenu-table"/>
    <w:basedOn w:val="Style8"/>
    <w:qFormat/>
    <w:rPr/>
  </w:style>
  <w:style w:type="character" w:styleId="Style19">
    <w:name w:val="Текст концевой сноски Знак"/>
    <w:basedOn w:val="Style8"/>
    <w:qFormat/>
    <w:rPr/>
  </w:style>
  <w:style w:type="character" w:styleId="EndnoteCharacters">
    <w:name w:val="Endnote Characters"/>
    <w:qFormat/>
    <w:rPr>
      <w:vertAlign w:val="superscript"/>
    </w:rPr>
  </w:style>
  <w:style w:type="character" w:styleId="Style20">
    <w:name w:val="Неразрешенное упоминание"/>
    <w:qFormat/>
    <w:rPr>
      <w:color w:val="605E5C"/>
      <w:shd w:fill="E1DFDD" w:val="clear"/>
    </w:rPr>
  </w:style>
  <w:style w:type="character" w:styleId="12pt03">
    <w:name w:val="12pt03"/>
    <w:qFormat/>
    <w:rPr>
      <w:rFonts w:cs="Times New Roman"/>
    </w:rPr>
  </w:style>
  <w:style w:type="character" w:styleId="4">
    <w:name w:val="Заголовок 4 Знак"/>
    <w:qFormat/>
    <w:rPr>
      <w:rFonts w:ascii="Calibri" w:hAnsi="Calibri" w:eastAsia="Times New Roman" w:cs="Times New Roman"/>
      <w:b/>
      <w:bCs/>
      <w:sz w:val="28"/>
      <w:szCs w:val="28"/>
    </w:rPr>
  </w:style>
  <w:style w:type="character" w:styleId="7">
    <w:name w:val="Заголовок 7 Знак"/>
    <w:qFormat/>
    <w:rPr>
      <w:rFonts w:ascii="Calibri" w:hAnsi="Calibri" w:eastAsia="Times New Roman" w:cs="Times New Roman"/>
      <w:sz w:val="24"/>
      <w:szCs w:val="24"/>
    </w:rPr>
  </w:style>
  <w:style w:type="character" w:styleId="5">
    <w:name w:val="Заголовок 5 Знак"/>
    <w:qFormat/>
    <w:rPr>
      <w:rFonts w:ascii="Arial" w:hAnsi="Arial" w:cs="Arial"/>
      <w:b/>
      <w:sz w:val="28"/>
    </w:rPr>
  </w:style>
  <w:style w:type="character" w:styleId="Style21">
    <w:name w:val="Подзаголовок Знак"/>
    <w:qFormat/>
    <w:rPr>
      <w:i/>
      <w:sz w:val="24"/>
    </w:rPr>
  </w:style>
  <w:style w:type="character" w:styleId="Style22">
    <w:name w:val="Текст Знак"/>
    <w:qFormat/>
    <w:rPr>
      <w:rFonts w:ascii="Consolas" w:hAnsi="Consolas" w:eastAsia="Calibri" w:cs="Consolas"/>
      <w:sz w:val="21"/>
      <w:szCs w:val="21"/>
    </w:rPr>
  </w:style>
  <w:style w:type="character" w:styleId="Applestylespan">
    <w:name w:val="apple-style-span"/>
    <w:basedOn w:val="Style8"/>
    <w:qFormat/>
    <w:rPr/>
  </w:style>
  <w:style w:type="character" w:styleId="31">
    <w:name w:val="Основной текст 3 Знак"/>
    <w:qFormat/>
    <w:rPr>
      <w:sz w:val="16"/>
      <w:szCs w:val="16"/>
    </w:rPr>
  </w:style>
  <w:style w:type="character" w:styleId="HTML">
    <w:name w:val="Стандартный HTML Знак"/>
    <w:qFormat/>
    <w:rPr>
      <w:rFonts w:ascii="Courier New" w:hAnsi="Courier New" w:cs="Courier New"/>
    </w:rPr>
  </w:style>
  <w:style w:type="character" w:styleId="32">
    <w:name w:val="Основной текст с отступом 3 Знак"/>
    <w:qFormat/>
    <w:rPr>
      <w:sz w:val="16"/>
      <w:szCs w:val="16"/>
    </w:rPr>
  </w:style>
  <w:style w:type="character" w:styleId="Val">
    <w:name w:val="val"/>
    <w:basedOn w:val="Style8"/>
    <w:qFormat/>
    <w:rPr/>
  </w:style>
  <w:style w:type="character" w:styleId="Nobr1">
    <w:name w:val="nobr1"/>
    <w:basedOn w:val="Style8"/>
    <w:qFormat/>
    <w:rPr/>
  </w:style>
  <w:style w:type="character" w:styleId="Mt31">
    <w:name w:val="mt31"/>
    <w:basedOn w:val="Style8"/>
    <w:qFormat/>
    <w:rPr/>
  </w:style>
  <w:style w:type="character" w:styleId="Z">
    <w:name w:val="z-Начало формы Знак"/>
    <w:qFormat/>
    <w:rPr>
      <w:rFonts w:ascii="Arial" w:hAnsi="Arial" w:cs="Arial"/>
      <w:vanish/>
      <w:sz w:val="16"/>
      <w:szCs w:val="16"/>
    </w:rPr>
  </w:style>
  <w:style w:type="character" w:styleId="Prel">
    <w:name w:val="prel"/>
    <w:basedOn w:val="Style8"/>
    <w:qFormat/>
    <w:rPr/>
  </w:style>
  <w:style w:type="character" w:styleId="Appm1">
    <w:name w:val="appm1"/>
    <w:qFormat/>
    <w:rPr>
      <w:bdr w:val="single" w:sz="6" w:space="0" w:color="989898"/>
      <w:shd w:fill="FFFFFF" w:val="clear"/>
    </w:rPr>
  </w:style>
  <w:style w:type="character" w:styleId="Z1">
    <w:name w:val="z-Конец формы Знак"/>
    <w:qFormat/>
    <w:rPr>
      <w:rFonts w:ascii="Arial" w:hAnsi="Arial" w:cs="Arial"/>
      <w:vanish/>
      <w:sz w:val="16"/>
      <w:szCs w:val="16"/>
    </w:rPr>
  </w:style>
  <w:style w:type="character" w:styleId="Db1">
    <w:name w:val="db1"/>
    <w:qFormat/>
    <w:rPr>
      <w:vanish w:val="false"/>
    </w:rPr>
  </w:style>
  <w:style w:type="character" w:styleId="Readmsgloading">
    <w:name w:val="readmsgloading"/>
    <w:basedOn w:val="Style8"/>
    <w:qFormat/>
    <w:rPr/>
  </w:style>
  <w:style w:type="character" w:styleId="Bserpitemtextpassage">
    <w:name w:val="b-serp-item__text_passage"/>
    <w:basedOn w:val="Style8"/>
    <w:qFormat/>
    <w:rPr/>
  </w:style>
  <w:style w:type="character" w:styleId="Toctoggle">
    <w:name w:val="toctoggle"/>
    <w:basedOn w:val="Style8"/>
    <w:qFormat/>
    <w:rPr/>
  </w:style>
  <w:style w:type="character" w:styleId="Tocnumber2">
    <w:name w:val="tocnumber2"/>
    <w:basedOn w:val="Style8"/>
    <w:qFormat/>
    <w:rPr/>
  </w:style>
  <w:style w:type="character" w:styleId="Toctext">
    <w:name w:val="toctext"/>
    <w:basedOn w:val="Style8"/>
    <w:qFormat/>
    <w:rPr/>
  </w:style>
  <w:style w:type="character" w:styleId="Editsection">
    <w:name w:val="editsection"/>
    <w:basedOn w:val="Style8"/>
    <w:qFormat/>
    <w:rPr/>
  </w:style>
  <w:style w:type="character" w:styleId="Mwheadline">
    <w:name w:val="mw-headline"/>
    <w:basedOn w:val="Style8"/>
    <w:qFormat/>
    <w:rPr/>
  </w:style>
  <w:style w:type="character" w:styleId="Hl1">
    <w:name w:val="hl1"/>
    <w:qFormat/>
    <w:rPr>
      <w:color w:val="4682B4"/>
    </w:rPr>
  </w:style>
  <w:style w:type="character" w:styleId="Small1">
    <w:name w:val="small1"/>
    <w:qFormat/>
    <w:rPr>
      <w:color w:val="999999"/>
      <w:sz w:val="24"/>
      <w:szCs w:val="24"/>
    </w:rPr>
  </w:style>
  <w:style w:type="character" w:styleId="Hl">
    <w:name w:val="hl"/>
    <w:basedOn w:val="Style8"/>
    <w:qFormat/>
    <w:rPr/>
  </w:style>
  <w:style w:type="character" w:styleId="41">
    <w:name w:val="Заголовок 4_1 Знак"/>
    <w:qFormat/>
    <w:rPr>
      <w:b/>
      <w:sz w:val="28"/>
      <w:szCs w:val="28"/>
    </w:rPr>
  </w:style>
  <w:style w:type="paragraph" w:styleId="Heading">
    <w:name w:val="Heading"/>
    <w:basedOn w:val="Standard"/>
    <w:next w:val="Textbody1"/>
    <w:qFormat/>
    <w:pPr>
      <w:keepNext w:val="true"/>
      <w:spacing w:before="240" w:after="120"/>
    </w:pPr>
    <w:rPr>
      <w:rFonts w:ascii="Arial" w:hAnsi="Arial" w:cs="Arial"/>
      <w:sz w:val="28"/>
      <w:szCs w:val="28"/>
    </w:rPr>
  </w:style>
  <w:style w:type="paragraph" w:styleId="TextBody">
    <w:name w:val="Body Text"/>
    <w:basedOn w:val="Normal"/>
    <w:pPr>
      <w:suppressAutoHyphens w:val="true"/>
      <w:spacing w:lineRule="auto" w:line="276" w:before="0" w:after="120"/>
    </w:pPr>
    <w:rPr>
      <w:rFonts w:ascii="Calibri" w:hAnsi="Calibri" w:eastAsia="Calibri" w:cs="Calibri"/>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Standard"/>
    <w:qFormat/>
    <w:pPr>
      <w:suppressLineNumbers/>
    </w:pPr>
    <w:rPr/>
  </w:style>
  <w:style w:type="paragraph" w:styleId="Style23">
    <w:name w:val="Обычный (Интернет)"/>
    <w:basedOn w:val="Normal"/>
    <w:qFormat/>
    <w:pPr>
      <w:spacing w:before="280" w:after="280"/>
    </w:pPr>
    <w:rPr>
      <w:sz w:val="24"/>
      <w:szCs w:val="24"/>
    </w:rPr>
  </w:style>
  <w:style w:type="paragraph" w:styleId="ListParagraph">
    <w:name w:val="List Paragraph"/>
    <w:basedOn w:val="Normal"/>
    <w:qFormat/>
    <w:pPr>
      <w:spacing w:lineRule="auto" w:line="276" w:before="0" w:after="200"/>
      <w:ind w:left="720" w:hanging="0"/>
      <w:contextualSpacing/>
    </w:pPr>
    <w:rPr>
      <w:rFonts w:ascii="Calibri" w:hAnsi="Calibri" w:cs="Calibri"/>
    </w:rPr>
  </w:style>
  <w:style w:type="paragraph" w:styleId="TextBodyIndent">
    <w:name w:val="Body Text Indent"/>
    <w:basedOn w:val="Normal"/>
    <w:pPr>
      <w:spacing w:lineRule="auto" w:line="276" w:before="0" w:after="120"/>
      <w:ind w:left="283" w:hanging="0"/>
    </w:pPr>
    <w:rPr>
      <w:rFonts w:ascii="Calibri" w:hAnsi="Calibri" w:cs="Calibri"/>
      <w:sz w:val="20"/>
      <w:szCs w:val="20"/>
    </w:rPr>
  </w:style>
  <w:style w:type="paragraph" w:styleId="Style24">
    <w:name w:val="А_основной"/>
    <w:basedOn w:val="Normal"/>
    <w:qFormat/>
    <w:pPr>
      <w:widowControl w:val="false"/>
      <w:autoSpaceDE w:val="false"/>
      <w:spacing w:lineRule="auto" w:line="360"/>
      <w:ind w:firstLine="454"/>
      <w:jc w:val="both"/>
    </w:pPr>
    <w:rPr>
      <w:sz w:val="28"/>
      <w:szCs w:val="20"/>
      <w:lang w:val="en-US"/>
    </w:rPr>
  </w:style>
  <w:style w:type="paragraph" w:styleId="Style25">
    <w:name w:val="Без интервала"/>
    <w:qFormat/>
    <w:pPr>
      <w:widowControl/>
      <w:bidi w:val="0"/>
    </w:pPr>
    <w:rPr>
      <w:rFonts w:ascii="Calibri" w:hAnsi="Calibri" w:eastAsia="Calibri" w:cs="Calibri"/>
      <w:color w:val="auto"/>
      <w:sz w:val="22"/>
      <w:szCs w:val="22"/>
      <w:lang w:val="ru-RU" w:bidi="ar-SA" w:eastAsia="zh-CN"/>
    </w:rPr>
  </w:style>
  <w:style w:type="paragraph" w:styleId="HeaderandFooter">
    <w:name w:val="Header and Footer"/>
    <w:basedOn w:val="Normal"/>
    <w:qFormat/>
    <w:pPr>
      <w:suppressLineNumbers/>
      <w:tabs>
        <w:tab w:val="clear" w:pos="708"/>
        <w:tab w:val="center" w:pos="4986" w:leader="none"/>
        <w:tab w:val="right" w:pos="9972" w:leader="none"/>
      </w:tabs>
    </w:pPr>
    <w:rPr/>
  </w:style>
  <w:style w:type="paragraph" w:styleId="Footer">
    <w:name w:val="Footer"/>
    <w:basedOn w:val="Normal"/>
    <w:pPr>
      <w:tabs>
        <w:tab w:val="clear" w:pos="708"/>
        <w:tab w:val="center" w:pos="4677" w:leader="none"/>
        <w:tab w:val="right" w:pos="9355" w:leader="none"/>
      </w:tabs>
    </w:pPr>
    <w:rPr/>
  </w:style>
  <w:style w:type="paragraph" w:styleId="13">
    <w:name w:val="Без интервала1"/>
    <w:qFormat/>
    <w:pPr>
      <w:widowControl/>
      <w:bidi w:val="0"/>
    </w:pPr>
    <w:rPr>
      <w:rFonts w:ascii="Calibri" w:hAnsi="Calibri" w:eastAsia="Times New Roman" w:cs="Calibri"/>
      <w:color w:val="auto"/>
      <w:sz w:val="22"/>
      <w:szCs w:val="22"/>
      <w:lang w:val="ru-RU" w:bidi="ar-SA" w:eastAsia="zh-CN"/>
    </w:rPr>
  </w:style>
  <w:style w:type="paragraph" w:styleId="24">
    <w:name w:val="Основной текст 2"/>
    <w:basedOn w:val="Normal"/>
    <w:qFormat/>
    <w:pPr>
      <w:widowControl w:val="false"/>
      <w:autoSpaceDE w:val="false"/>
      <w:spacing w:lineRule="auto" w:line="480" w:before="0" w:after="120"/>
    </w:pPr>
    <w:rPr>
      <w:rFonts w:ascii="Arial" w:hAnsi="Arial" w:cs="Arial"/>
      <w:sz w:val="18"/>
      <w:szCs w:val="20"/>
    </w:rPr>
  </w:style>
  <w:style w:type="paragraph" w:styleId="14">
    <w:name w:val="Абзац списка1"/>
    <w:basedOn w:val="Normal"/>
    <w:qFormat/>
    <w:pPr>
      <w:spacing w:lineRule="auto" w:line="276" w:before="0" w:after="200"/>
      <w:ind w:left="720" w:hanging="0"/>
      <w:contextualSpacing/>
    </w:pPr>
    <w:rPr>
      <w:rFonts w:ascii="Calibri" w:hAnsi="Calibri" w:cs="Calibri"/>
      <w:szCs w:val="20"/>
    </w:rPr>
  </w:style>
  <w:style w:type="paragraph" w:styleId="212">
    <w:name w:val="Заголовок 21"/>
    <w:basedOn w:val="Normal"/>
    <w:next w:val="Normal"/>
    <w:qFormat/>
    <w:pPr>
      <w:keepNext w:val="true"/>
      <w:keepLines/>
      <w:spacing w:lineRule="auto" w:line="256" w:before="40" w:after="0"/>
      <w:outlineLvl w:val="1"/>
    </w:pPr>
    <w:rPr>
      <w:rFonts w:ascii="Calibri Light" w:hAnsi="Calibri Light" w:cs="Calibri Light"/>
      <w:color w:val="2E74B5"/>
      <w:sz w:val="26"/>
      <w:szCs w:val="26"/>
    </w:rPr>
  </w:style>
  <w:style w:type="paragraph" w:styleId="Jsdetailstasks">
    <w:name w:val="js-details-tasks"/>
    <w:basedOn w:val="Normal"/>
    <w:qFormat/>
    <w:pPr>
      <w:spacing w:before="280" w:after="280"/>
    </w:pPr>
    <w:rPr>
      <w:sz w:val="24"/>
      <w:szCs w:val="24"/>
    </w:rPr>
  </w:style>
  <w:style w:type="paragraph" w:styleId="Jsdetailsstats">
    <w:name w:val="js-details-stats"/>
    <w:basedOn w:val="Normal"/>
    <w:qFormat/>
    <w:pPr>
      <w:spacing w:before="280" w:after="280"/>
    </w:pPr>
    <w:rPr>
      <w:sz w:val="24"/>
      <w:szCs w:val="24"/>
    </w:rPr>
  </w:style>
  <w:style w:type="paragraph" w:styleId="Style26">
    <w:name w:val="Абзац списка"/>
    <w:basedOn w:val="Normal"/>
    <w:qFormat/>
    <w:pPr>
      <w:spacing w:lineRule="auto" w:line="256" w:before="0" w:after="160"/>
      <w:ind w:left="720" w:hanging="0"/>
      <w:contextualSpacing/>
    </w:pPr>
    <w:rPr>
      <w:rFonts w:ascii="Calibri" w:hAnsi="Calibri" w:eastAsia="Calibri" w:cs="Calibri"/>
      <w:szCs w:val="20"/>
    </w:rPr>
  </w:style>
  <w:style w:type="paragraph" w:styleId="Style27">
    <w:name w:val="Текст выноски"/>
    <w:basedOn w:val="Normal"/>
    <w:qFormat/>
    <w:pPr/>
    <w:rPr>
      <w:rFonts w:ascii="Tahoma" w:hAnsi="Tahoma" w:eastAsia="Calibri" w:cs="Tahoma"/>
      <w:sz w:val="16"/>
      <w:szCs w:val="16"/>
    </w:rPr>
  </w:style>
  <w:style w:type="paragraph" w:styleId="Style28">
    <w:name w:val="Текст в заданном формате"/>
    <w:basedOn w:val="Normal"/>
    <w:qFormat/>
    <w:pPr>
      <w:widowControl w:val="false"/>
      <w:suppressAutoHyphens w:val="true"/>
    </w:pPr>
    <w:rPr>
      <w:rFonts w:ascii="Courier New" w:hAnsi="Courier New" w:eastAsia="NSimSun" w:cs="Courier New"/>
      <w:sz w:val="20"/>
      <w:szCs w:val="20"/>
      <w:lang w:bidi="hi-IN"/>
    </w:rPr>
  </w:style>
  <w:style w:type="paragraph" w:styleId="15">
    <w:name w:val="Заголовок1"/>
    <w:basedOn w:val="Normal"/>
    <w:next w:val="TextBody"/>
    <w:qFormat/>
    <w:pPr>
      <w:keepNext w:val="true"/>
      <w:suppressAutoHyphens w:val="true"/>
      <w:spacing w:lineRule="auto" w:line="276" w:before="240" w:after="120"/>
    </w:pPr>
    <w:rPr>
      <w:rFonts w:ascii="Arial" w:hAnsi="Arial" w:eastAsia="Microsoft YaHei" w:cs="Arial"/>
      <w:sz w:val="28"/>
      <w:szCs w:val="28"/>
    </w:rPr>
  </w:style>
  <w:style w:type="paragraph" w:styleId="16">
    <w:name w:val="Название1"/>
    <w:basedOn w:val="Normal"/>
    <w:qFormat/>
    <w:pPr>
      <w:suppressLineNumbers/>
      <w:suppressAutoHyphens w:val="true"/>
      <w:spacing w:lineRule="auto" w:line="276" w:before="120" w:after="120"/>
    </w:pPr>
    <w:rPr>
      <w:rFonts w:ascii="Calibri" w:hAnsi="Calibri" w:eastAsia="Calibri" w:cs="Arial"/>
      <w:i/>
      <w:iCs/>
      <w:sz w:val="24"/>
      <w:szCs w:val="24"/>
    </w:rPr>
  </w:style>
  <w:style w:type="paragraph" w:styleId="17">
    <w:name w:val="Указатель1"/>
    <w:basedOn w:val="Normal"/>
    <w:qFormat/>
    <w:pPr>
      <w:suppressLineNumbers/>
      <w:suppressAutoHyphens w:val="true"/>
      <w:spacing w:lineRule="auto" w:line="276" w:before="0" w:after="200"/>
    </w:pPr>
    <w:rPr>
      <w:rFonts w:ascii="Calibri" w:hAnsi="Calibri" w:eastAsia="Calibri" w:cs="Arial"/>
    </w:rPr>
  </w:style>
  <w:style w:type="paragraph" w:styleId="Standard">
    <w:name w:val="Standard"/>
    <w:qFormat/>
    <w:pPr>
      <w:widowControl w:val="false"/>
      <w:suppressAutoHyphens w:val="true"/>
      <w:bidi w:val="0"/>
      <w:textAlignment w:val="baseline"/>
    </w:pPr>
    <w:rPr>
      <w:rFonts w:ascii="Times New Roman" w:hAnsi="Times New Roman" w:eastAsia="Calibri" w:cs="Tahoma"/>
      <w:color w:val="auto"/>
      <w:kern w:val="2"/>
      <w:sz w:val="24"/>
      <w:szCs w:val="24"/>
      <w:lang w:val="ru-RU" w:eastAsia="zh-CN" w:bidi="hi-IN"/>
    </w:rPr>
  </w:style>
  <w:style w:type="paragraph" w:styleId="Textbody1">
    <w:name w:val="Text body"/>
    <w:basedOn w:val="Standard"/>
    <w:qFormat/>
    <w:pPr>
      <w:spacing w:before="0" w:after="120"/>
    </w:pPr>
    <w:rPr/>
  </w:style>
  <w:style w:type="paragraph" w:styleId="Style29">
    <w:name w:val="Название объекта"/>
    <w:basedOn w:val="Standard"/>
    <w:qFormat/>
    <w:pPr>
      <w:suppressLineNumbers/>
      <w:spacing w:before="120" w:after="120"/>
    </w:pPr>
    <w:rPr>
      <w:i/>
      <w:iCs/>
    </w:rPr>
  </w:style>
  <w:style w:type="paragraph" w:styleId="18">
    <w:name w:val="????? ??????1"/>
    <w:basedOn w:val="Standard"/>
    <w:qFormat/>
    <w:pPr>
      <w:ind w:left="720" w:hanging="0"/>
    </w:pPr>
    <w:rPr>
      <w:rFonts w:ascii="Calibri" w:hAnsi="Calibri" w:cs="Calibri"/>
    </w:rPr>
  </w:style>
  <w:style w:type="paragraph" w:styleId="Style30">
    <w:name w:val="????? ??????"/>
    <w:basedOn w:val="Standard"/>
    <w:qFormat/>
    <w:pPr>
      <w:suppressAutoHyphens w:val="false"/>
      <w:ind w:left="720" w:hanging="0"/>
    </w:pPr>
    <w:rPr>
      <w:rFonts w:cs="Times New Roman"/>
      <w:sz w:val="20"/>
    </w:rPr>
  </w:style>
  <w:style w:type="paragraph" w:styleId="TableContents">
    <w:name w:val="Table Contents"/>
    <w:basedOn w:val="Standard"/>
    <w:qFormat/>
    <w:pPr>
      <w:suppressLineNumbers/>
    </w:pPr>
    <w:rPr/>
  </w:style>
  <w:style w:type="paragraph" w:styleId="TableHeading">
    <w:name w:val="Table Heading"/>
    <w:basedOn w:val="TableContents"/>
    <w:qFormat/>
    <w:pPr>
      <w:jc w:val="center"/>
    </w:pPr>
    <w:rPr>
      <w:b/>
      <w:bCs/>
    </w:rPr>
  </w:style>
  <w:style w:type="paragraph" w:styleId="C5">
    <w:name w:val="c5"/>
    <w:basedOn w:val="Standard"/>
    <w:qFormat/>
    <w:pPr>
      <w:suppressAutoHyphens w:val="false"/>
      <w:spacing w:before="280" w:after="280"/>
    </w:pPr>
    <w:rPr>
      <w:rFonts w:cs="Times New Roman"/>
    </w:rPr>
  </w:style>
  <w:style w:type="paragraph" w:styleId="C7">
    <w:name w:val="c7"/>
    <w:basedOn w:val="Standard"/>
    <w:qFormat/>
    <w:pPr>
      <w:spacing w:lineRule="atLeast" w:line="100" w:before="100" w:after="28"/>
    </w:pPr>
    <w:rPr>
      <w:rFonts w:cs="Times New Roman"/>
    </w:rPr>
  </w:style>
  <w:style w:type="paragraph" w:styleId="C10">
    <w:name w:val="c10"/>
    <w:basedOn w:val="Standard"/>
    <w:qFormat/>
    <w:pPr>
      <w:spacing w:lineRule="atLeast" w:line="100" w:before="100" w:after="28"/>
    </w:pPr>
    <w:rPr>
      <w:rFonts w:cs="Times New Roman"/>
    </w:rPr>
  </w:style>
  <w:style w:type="paragraph" w:styleId="Style31">
    <w:name w:val="??? ?????????"/>
    <w:qFormat/>
    <w:pPr>
      <w:widowControl/>
      <w:suppressAutoHyphens w:val="true"/>
      <w:bidi w:val="0"/>
      <w:textAlignment w:val="baseline"/>
    </w:pPr>
    <w:rPr>
      <w:rFonts w:ascii="Times New Roman" w:hAnsi="Times New Roman" w:eastAsia="Times New Roman" w:cs="Times New Roman"/>
      <w:color w:val="auto"/>
      <w:kern w:val="2"/>
      <w:sz w:val="24"/>
      <w:szCs w:val="20"/>
      <w:lang w:val="ru-RU" w:eastAsia="zh-CN" w:bidi="hi-IN"/>
    </w:rPr>
  </w:style>
  <w:style w:type="paragraph" w:styleId="Standarduser">
    <w:name w:val="Standard (user)"/>
    <w:qFormat/>
    <w:pPr>
      <w:widowControl/>
      <w:tabs>
        <w:tab w:val="left" w:pos="708" w:leader="none"/>
      </w:tabs>
      <w:suppressAutoHyphens w:val="true"/>
      <w:bidi w:val="0"/>
      <w:spacing w:lineRule="auto" w:line="276" w:before="0" w:after="200"/>
      <w:textAlignment w:val="baseline"/>
    </w:pPr>
    <w:rPr>
      <w:rFonts w:ascii="Liberation Serif;Times New Roman" w:hAnsi="Liberation Serif;Times New Roman" w:eastAsia="Times New Roman" w:cs="Liberation Serif;Times New Roman"/>
      <w:color w:val="auto"/>
      <w:kern w:val="2"/>
      <w:sz w:val="24"/>
      <w:szCs w:val="20"/>
      <w:lang w:val="ru-RU" w:eastAsia="zh-CN" w:bidi="hi-IN"/>
    </w:rPr>
  </w:style>
  <w:style w:type="paragraph" w:styleId="Textbodyindent1">
    <w:name w:val="Text body indent"/>
    <w:basedOn w:val="Standard"/>
    <w:qFormat/>
    <w:pPr>
      <w:spacing w:before="0" w:after="120"/>
      <w:ind w:left="283" w:hanging="0"/>
    </w:pPr>
    <w:rPr/>
  </w:style>
  <w:style w:type="paragraph" w:styleId="Style32">
    <w:name w:val="??????? (???)"/>
    <w:basedOn w:val="Standard"/>
    <w:qFormat/>
    <w:pPr>
      <w:suppressAutoHyphens w:val="false"/>
      <w:spacing w:before="280" w:after="280"/>
    </w:pPr>
    <w:rPr>
      <w:rFonts w:cs="Times New Roman"/>
    </w:rPr>
  </w:style>
  <w:style w:type="paragraph" w:styleId="Style33">
    <w:name w:val="Содержимое таблицы"/>
    <w:basedOn w:val="Normal"/>
    <w:qFormat/>
    <w:pPr>
      <w:suppressLineNumbers/>
      <w:suppressAutoHyphens w:val="true"/>
    </w:pPr>
    <w:rPr>
      <w:rFonts w:eastAsia="MS Mincho;ＭＳ 明朝"/>
      <w:sz w:val="24"/>
      <w:szCs w:val="24"/>
      <w:lang w:val="en-US"/>
    </w:rPr>
  </w:style>
  <w:style w:type="paragraph" w:styleId="25">
    <w:name w:val="Абзац списка2"/>
    <w:basedOn w:val="Normal"/>
    <w:qFormat/>
    <w:pPr>
      <w:widowControl w:val="false"/>
      <w:suppressAutoHyphens w:val="true"/>
      <w:spacing w:lineRule="auto" w:line="254" w:before="0" w:after="160"/>
      <w:ind w:left="720" w:hanging="0"/>
    </w:pPr>
    <w:rPr>
      <w:rFonts w:eastAsia="Calibri"/>
      <w:kern w:val="2"/>
      <w:sz w:val="24"/>
      <w:szCs w:val="24"/>
    </w:rPr>
  </w:style>
  <w:style w:type="paragraph" w:styleId="Header">
    <w:name w:val="Header"/>
    <w:basedOn w:val="Normal"/>
    <w:pPr>
      <w:tabs>
        <w:tab w:val="clear" w:pos="708"/>
        <w:tab w:val="center" w:pos="4677" w:leader="none"/>
        <w:tab w:val="right" w:pos="9355" w:leader="none"/>
      </w:tabs>
    </w:pPr>
    <w:rPr>
      <w:rFonts w:ascii="Calibri" w:hAnsi="Calibri" w:eastAsia="Calibri" w:cs="Calibri"/>
    </w:rPr>
  </w:style>
  <w:style w:type="paragraph" w:styleId="26">
    <w:name w:val="Основной текст с отступом 2"/>
    <w:basedOn w:val="Normal"/>
    <w:qFormat/>
    <w:pPr>
      <w:spacing w:lineRule="auto" w:line="480" w:before="0" w:after="120"/>
      <w:ind w:left="283" w:hanging="0"/>
    </w:pPr>
    <w:rPr>
      <w:sz w:val="24"/>
      <w:szCs w:val="24"/>
    </w:rPr>
  </w:style>
  <w:style w:type="paragraph" w:styleId="Style34">
    <w:name w:val="пр"/>
    <w:basedOn w:val="Normal"/>
    <w:qFormat/>
    <w:pPr/>
    <w:rPr>
      <w:sz w:val="28"/>
      <w:szCs w:val="28"/>
    </w:rPr>
  </w:style>
  <w:style w:type="paragraph" w:styleId="27">
    <w:name w:val="Заголовок2"/>
    <w:basedOn w:val="Normal"/>
    <w:next w:val="TextBody"/>
    <w:qFormat/>
    <w:pPr>
      <w:keepNext w:val="true"/>
      <w:widowControl w:val="false"/>
      <w:suppressAutoHyphens w:val="true"/>
      <w:spacing w:before="240" w:after="120"/>
    </w:pPr>
    <w:rPr>
      <w:rFonts w:ascii="Arial" w:hAnsi="Arial" w:eastAsia="Andale Sans UI;Arial Unicode MS" w:cs="Tahoma"/>
      <w:kern w:val="2"/>
      <w:sz w:val="28"/>
      <w:szCs w:val="28"/>
    </w:rPr>
  </w:style>
  <w:style w:type="paragraph" w:styleId="33">
    <w:name w:val="Абзац списка3"/>
    <w:basedOn w:val="Normal"/>
    <w:qFormat/>
    <w:pPr>
      <w:widowControl w:val="false"/>
      <w:suppressAutoHyphens w:val="true"/>
      <w:ind w:left="720" w:hanging="0"/>
    </w:pPr>
    <w:rPr>
      <w:rFonts w:eastAsia="Andale Sans UI;Arial Unicode MS"/>
      <w:kern w:val="2"/>
      <w:sz w:val="20"/>
      <w:szCs w:val="24"/>
    </w:rPr>
  </w:style>
  <w:style w:type="paragraph" w:styleId="28">
    <w:name w:val="Без интервала2"/>
    <w:qFormat/>
    <w:pPr>
      <w:widowControl/>
      <w:suppressAutoHyphens w:val="true"/>
      <w:bidi w:val="0"/>
      <w:spacing w:lineRule="atLeast" w:line="100"/>
    </w:pPr>
    <w:rPr>
      <w:rFonts w:ascii="Calibri" w:hAnsi="Calibri" w:eastAsia="Calibri" w:cs="Calibri"/>
      <w:color w:val="auto"/>
      <w:sz w:val="22"/>
      <w:szCs w:val="22"/>
      <w:lang w:val="ru-RU" w:bidi="ar-SA" w:eastAsia="zh-CN"/>
    </w:rPr>
  </w:style>
  <w:style w:type="paragraph" w:styleId="Style35">
    <w:name w:val="Заголовок таблицы"/>
    <w:basedOn w:val="Style33"/>
    <w:qFormat/>
    <w:pPr>
      <w:widowControl w:val="false"/>
      <w:jc w:val="center"/>
    </w:pPr>
    <w:rPr>
      <w:rFonts w:eastAsia="Andale Sans UI;Arial Unicode MS"/>
      <w:b/>
      <w:bCs/>
      <w:kern w:val="2"/>
    </w:rPr>
  </w:style>
  <w:style w:type="paragraph" w:styleId="19">
    <w:name w:val="Обычный (веб)1"/>
    <w:basedOn w:val="Normal"/>
    <w:qFormat/>
    <w:pPr>
      <w:widowControl w:val="false"/>
      <w:suppressAutoHyphens w:val="true"/>
      <w:spacing w:lineRule="atLeast" w:line="100" w:before="100" w:after="28"/>
    </w:pPr>
    <w:rPr>
      <w:rFonts w:eastAsia="Andale Sans UI;Arial Unicode MS"/>
      <w:kern w:val="2"/>
      <w:sz w:val="24"/>
      <w:szCs w:val="24"/>
    </w:rPr>
  </w:style>
  <w:style w:type="paragraph" w:styleId="42">
    <w:name w:val="Абзац списка4"/>
    <w:basedOn w:val="Normal"/>
    <w:qFormat/>
    <w:pPr>
      <w:widowControl w:val="false"/>
      <w:suppressAutoHyphens w:val="true"/>
      <w:ind w:left="720" w:hanging="0"/>
    </w:pPr>
    <w:rPr>
      <w:rFonts w:eastAsia="Andale Sans UI;Arial Unicode MS"/>
      <w:kern w:val="2"/>
      <w:sz w:val="20"/>
      <w:szCs w:val="24"/>
    </w:rPr>
  </w:style>
  <w:style w:type="paragraph" w:styleId="Text">
    <w:name w:val="text"/>
    <w:basedOn w:val="Normal"/>
    <w:qFormat/>
    <w:pPr>
      <w:spacing w:lineRule="atLeast" w:line="240" w:before="150" w:after="150"/>
    </w:pPr>
    <w:rPr>
      <w:color w:val="192C71"/>
      <w:sz w:val="18"/>
      <w:szCs w:val="18"/>
    </w:rPr>
  </w:style>
  <w:style w:type="paragraph" w:styleId="Main">
    <w:name w:val="main"/>
    <w:basedOn w:val="Normal"/>
    <w:qFormat/>
    <w:pPr>
      <w:spacing w:lineRule="auto" w:line="276" w:before="100" w:after="100"/>
      <w:ind w:firstLine="400"/>
      <w:jc w:val="both"/>
    </w:pPr>
    <w:rPr>
      <w:sz w:val="24"/>
      <w:szCs w:val="24"/>
    </w:rPr>
  </w:style>
  <w:style w:type="paragraph" w:styleId="Rtejustify">
    <w:name w:val="rtejustify"/>
    <w:basedOn w:val="Normal"/>
    <w:qFormat/>
    <w:pPr>
      <w:spacing w:lineRule="auto" w:line="276" w:before="280" w:after="280"/>
    </w:pPr>
    <w:rPr>
      <w:sz w:val="24"/>
      <w:szCs w:val="24"/>
    </w:rPr>
  </w:style>
  <w:style w:type="paragraph" w:styleId="Dash041e005f0431005f044b005f0447005f043d005f044b005f0439">
    <w:name w:val="dash041e_005f0431_005f044b_005f0447_005f043d_005f044b_005f0439"/>
    <w:basedOn w:val="Normal"/>
    <w:qFormat/>
    <w:pPr>
      <w:spacing w:lineRule="auto" w:line="276" w:before="0" w:after="200"/>
    </w:pPr>
    <w:rPr>
      <w:sz w:val="24"/>
      <w:szCs w:val="24"/>
    </w:rPr>
  </w:style>
  <w:style w:type="paragraph" w:styleId="Footnote">
    <w:name w:val="Footnote Text"/>
    <w:basedOn w:val="Normal"/>
    <w:pPr>
      <w:spacing w:lineRule="auto" w:line="276" w:before="0" w:after="200"/>
    </w:pPr>
    <w:rPr>
      <w:sz w:val="20"/>
      <w:szCs w:val="20"/>
    </w:rPr>
  </w:style>
  <w:style w:type="paragraph" w:styleId="Default">
    <w:name w:val="default"/>
    <w:basedOn w:val="Normal"/>
    <w:qFormat/>
    <w:pPr>
      <w:spacing w:lineRule="auto" w:line="276" w:before="0" w:after="200"/>
    </w:pPr>
    <w:rPr>
      <w:sz w:val="24"/>
      <w:szCs w:val="24"/>
    </w:rPr>
  </w:style>
  <w:style w:type="paragraph" w:styleId="Endnote">
    <w:name w:val="Endnote Text"/>
    <w:basedOn w:val="Normal"/>
    <w:pPr>
      <w:spacing w:lineRule="auto" w:line="276" w:before="0" w:after="200"/>
    </w:pPr>
    <w:rPr>
      <w:sz w:val="20"/>
      <w:szCs w:val="20"/>
    </w:rPr>
  </w:style>
  <w:style w:type="paragraph" w:styleId="Subtitle">
    <w:name w:val="Subtitle"/>
    <w:basedOn w:val="Normal"/>
    <w:next w:val="TextBody"/>
    <w:qFormat/>
    <w:pPr>
      <w:jc w:val="center"/>
    </w:pPr>
    <w:rPr>
      <w:i/>
      <w:sz w:val="24"/>
      <w:szCs w:val="20"/>
    </w:rPr>
  </w:style>
  <w:style w:type="paragraph" w:styleId="Style36">
    <w:name w:val="Текст"/>
    <w:basedOn w:val="Normal"/>
    <w:qFormat/>
    <w:pPr/>
    <w:rPr>
      <w:rFonts w:ascii="Consolas" w:hAnsi="Consolas" w:eastAsia="Calibri" w:cs="Consolas"/>
      <w:sz w:val="21"/>
      <w:szCs w:val="21"/>
    </w:rPr>
  </w:style>
  <w:style w:type="paragraph" w:styleId="110">
    <w:name w:val="Обычный1"/>
    <w:qFormat/>
    <w:pPr>
      <w:widowControl w:val="false"/>
      <w:bidi w:val="0"/>
      <w:spacing w:lineRule="auto" w:line="300"/>
      <w:ind w:firstLine="480"/>
      <w:jc w:val="both"/>
    </w:pPr>
    <w:rPr>
      <w:rFonts w:ascii="Times New Roman" w:hAnsi="Times New Roman" w:eastAsia="Times New Roman" w:cs="Times New Roman"/>
      <w:color w:val="auto"/>
      <w:sz w:val="16"/>
      <w:szCs w:val="20"/>
      <w:lang w:val="ru-RU" w:bidi="ar-SA" w:eastAsia="zh-CN"/>
    </w:rPr>
  </w:style>
  <w:style w:type="paragraph" w:styleId="34">
    <w:name w:val="Основной текст 3"/>
    <w:basedOn w:val="Normal"/>
    <w:qFormat/>
    <w:pPr>
      <w:spacing w:before="0" w:after="120"/>
    </w:pPr>
    <w:rPr>
      <w:sz w:val="16"/>
      <w:szCs w:val="16"/>
    </w:rPr>
  </w:style>
  <w:style w:type="paragraph" w:styleId="213">
    <w:name w:val="Основной текст 21"/>
    <w:basedOn w:val="Normal"/>
    <w:qFormat/>
    <w:pPr>
      <w:spacing w:lineRule="auto" w:line="480"/>
      <w:ind w:firstLine="567"/>
      <w:jc w:val="both"/>
    </w:pPr>
    <w:rPr>
      <w:sz w:val="28"/>
      <w:szCs w:val="20"/>
    </w:rPr>
  </w:style>
  <w:style w:type="paragraph" w:styleId="Caaoaae1">
    <w:name w:val="Caa oaae.-1"/>
    <w:basedOn w:val="Normal"/>
    <w:qFormat/>
    <w:pPr>
      <w:spacing w:lineRule="atLeast" w:line="220" w:before="340" w:after="0"/>
      <w:jc w:val="right"/>
    </w:pPr>
    <w:rPr>
      <w:rFonts w:ascii="NewtonC;Arial" w:hAnsi="NewtonC;Arial" w:cs="NewtonC;Arial"/>
      <w:i/>
      <w:sz w:val="18"/>
      <w:szCs w:val="20"/>
    </w:rPr>
  </w:style>
  <w:style w:type="paragraph" w:styleId="Style37">
    <w:name w:val="основной диссертации"/>
    <w:basedOn w:val="TextBody"/>
    <w:qFormat/>
    <w:pPr>
      <w:suppressAutoHyphens w:val="false"/>
      <w:spacing w:lineRule="auto" w:line="360" w:before="0" w:after="0"/>
      <w:ind w:firstLine="709"/>
      <w:jc w:val="both"/>
    </w:pPr>
    <w:rPr>
      <w:rFonts w:ascii="Times New Roman" w:hAnsi="Times New Roman" w:eastAsia="Times New Roman" w:cs="Times New Roman"/>
      <w:sz w:val="28"/>
      <w:szCs w:val="28"/>
    </w:rPr>
  </w:style>
  <w:style w:type="paragraph" w:styleId="111">
    <w:name w:val="табличный1"/>
    <w:basedOn w:val="Normal"/>
    <w:qFormat/>
    <w:pPr>
      <w:spacing w:lineRule="auto" w:line="360"/>
      <w:jc w:val="both"/>
    </w:pPr>
    <w:rPr>
      <w:sz w:val="24"/>
      <w:szCs w:val="20"/>
    </w:rPr>
  </w:style>
  <w:style w:type="paragraph" w:styleId="Inio">
    <w:name w:val="Ini. o."/>
    <w:qFormat/>
    <w:pPr>
      <w:widowControl/>
      <w:bidi w:val="0"/>
      <w:spacing w:lineRule="atLeast" w:line="220"/>
      <w:ind w:firstLine="340"/>
      <w:jc w:val="both"/>
    </w:pPr>
    <w:rPr>
      <w:rFonts w:ascii="NewtonC;Arial" w:hAnsi="NewtonC;Arial" w:eastAsia="Times New Roman" w:cs="NewtonC;Arial"/>
      <w:color w:val="000000"/>
      <w:sz w:val="20"/>
      <w:szCs w:val="20"/>
      <w:lang w:val="ru-RU" w:bidi="ar-SA" w:eastAsia="zh-CN"/>
    </w:rPr>
  </w:style>
  <w:style w:type="paragraph" w:styleId="HTML1">
    <w:name w:val="Стандартный HTML"/>
    <w:basedOn w:val="Normal"/>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35">
    <w:name w:val="Основной текст с отступом 3"/>
    <w:basedOn w:val="Normal"/>
    <w:qFormat/>
    <w:pPr>
      <w:spacing w:before="0" w:after="120"/>
      <w:ind w:left="283" w:hanging="0"/>
    </w:pPr>
    <w:rPr>
      <w:sz w:val="16"/>
      <w:szCs w:val="16"/>
    </w:rPr>
  </w:style>
  <w:style w:type="paragraph" w:styleId="Style38">
    <w:name w:val="Цитата"/>
    <w:basedOn w:val="Normal"/>
    <w:qFormat/>
    <w:pPr>
      <w:widowControl w:val="false"/>
      <w:spacing w:lineRule="auto" w:line="360"/>
      <w:ind w:left="420" w:right="-483" w:hanging="0"/>
      <w:jc w:val="both"/>
    </w:pPr>
    <w:rPr>
      <w:sz w:val="24"/>
      <w:szCs w:val="20"/>
    </w:rPr>
  </w:style>
  <w:style w:type="paragraph" w:styleId="29">
    <w:name w:val="Обычный2"/>
    <w:qFormat/>
    <w:pPr>
      <w:widowControl w:val="false"/>
      <w:bidi w:val="0"/>
      <w:spacing w:lineRule="auto" w:line="300"/>
      <w:ind w:firstLine="520"/>
      <w:jc w:val="both"/>
    </w:pPr>
    <w:rPr>
      <w:rFonts w:ascii="Times New Roman" w:hAnsi="Times New Roman" w:eastAsia="Times New Roman" w:cs="Times New Roman"/>
      <w:color w:val="auto"/>
      <w:sz w:val="22"/>
      <w:szCs w:val="20"/>
      <w:lang w:val="ru-RU" w:bidi="ar-SA" w:eastAsia="zh-CN"/>
    </w:rPr>
  </w:style>
  <w:style w:type="paragraph" w:styleId="Z2">
    <w:name w:val="z-Начало формы"/>
    <w:basedOn w:val="Normal"/>
    <w:next w:val="Normal"/>
    <w:qFormat/>
    <w:pPr>
      <w:pBdr>
        <w:bottom w:val="single" w:sz="6" w:space="1" w:color="000000"/>
      </w:pBdr>
      <w:jc w:val="center"/>
    </w:pPr>
    <w:rPr>
      <w:rFonts w:ascii="Arial" w:hAnsi="Arial" w:cs="Arial"/>
      <w:vanish/>
      <w:sz w:val="16"/>
      <w:szCs w:val="16"/>
    </w:rPr>
  </w:style>
  <w:style w:type="paragraph" w:styleId="Z3">
    <w:name w:val="z-Конец формы"/>
    <w:basedOn w:val="Normal"/>
    <w:next w:val="Normal"/>
    <w:qFormat/>
    <w:pPr>
      <w:pBdr>
        <w:top w:val="single" w:sz="6" w:space="1" w:color="000000"/>
      </w:pBdr>
      <w:jc w:val="center"/>
    </w:pPr>
    <w:rPr>
      <w:rFonts w:ascii="Arial" w:hAnsi="Arial" w:cs="Arial"/>
      <w:vanish/>
      <w:sz w:val="16"/>
      <w:szCs w:val="16"/>
    </w:rPr>
  </w:style>
  <w:style w:type="paragraph" w:styleId="36">
    <w:name w:val="Обычный3"/>
    <w:qFormat/>
    <w:pPr>
      <w:widowControl/>
      <w:bidi w:val="0"/>
      <w:spacing w:before="100" w:after="100"/>
    </w:pPr>
    <w:rPr>
      <w:rFonts w:ascii="Times New Roman" w:hAnsi="Times New Roman" w:eastAsia="Times New Roman" w:cs="Times New Roman"/>
      <w:color w:val="auto"/>
      <w:sz w:val="24"/>
      <w:szCs w:val="20"/>
      <w:lang w:val="ru-RU" w:bidi="ar-SA" w:eastAsia="zh-CN"/>
    </w:rPr>
  </w:style>
  <w:style w:type="paragraph" w:styleId="FR1">
    <w:name w:val="FR1"/>
    <w:qFormat/>
    <w:pPr>
      <w:widowControl w:val="false"/>
      <w:bidi w:val="0"/>
      <w:spacing w:lineRule="auto" w:line="960" w:before="120" w:after="0"/>
      <w:ind w:left="240" w:hanging="0"/>
    </w:pPr>
    <w:rPr>
      <w:rFonts w:ascii="Arial" w:hAnsi="Arial" w:eastAsia="Times New Roman" w:cs="Arial"/>
      <w:color w:val="auto"/>
      <w:sz w:val="16"/>
      <w:szCs w:val="20"/>
      <w:lang w:val="ru-RU" w:bidi="ar-SA" w:eastAsia="zh-CN"/>
    </w:rPr>
  </w:style>
  <w:style w:type="paragraph" w:styleId="Pt">
    <w:name w:val="pt"/>
    <w:basedOn w:val="Normal"/>
    <w:qFormat/>
    <w:pPr>
      <w:spacing w:before="280" w:after="280"/>
    </w:pPr>
    <w:rPr>
      <w:sz w:val="24"/>
      <w:szCs w:val="24"/>
    </w:rPr>
  </w:style>
  <w:style w:type="paragraph" w:styleId="Nien1">
    <w:name w:val="nien1"/>
    <w:basedOn w:val="Normal"/>
    <w:qFormat/>
    <w:pPr>
      <w:tabs>
        <w:tab w:val="clear" w:pos="708"/>
        <w:tab w:val="left" w:pos="927" w:leader="none"/>
      </w:tabs>
      <w:spacing w:lineRule="auto" w:line="360"/>
      <w:ind w:firstLine="567"/>
      <w:jc w:val="both"/>
    </w:pPr>
    <w:rPr>
      <w:sz w:val="28"/>
      <w:szCs w:val="20"/>
    </w:rPr>
  </w:style>
  <w:style w:type="paragraph" w:styleId="Default1">
    <w:name w:val="Default"/>
    <w:qFormat/>
    <w:pPr>
      <w:widowControl/>
      <w:autoSpaceDE w:val="false"/>
      <w:bidi w:val="0"/>
    </w:pPr>
    <w:rPr>
      <w:rFonts w:ascii="Times New Roman" w:hAnsi="Times New Roman" w:eastAsia="Times New Roman" w:cs="Times New Roman"/>
      <w:color w:val="000000"/>
      <w:sz w:val="24"/>
      <w:szCs w:val="24"/>
      <w:lang w:val="ru-RU" w:bidi="ar-SA" w:eastAsia="zh-CN"/>
    </w:rPr>
  </w:style>
  <w:style w:type="paragraph" w:styleId="210">
    <w:name w:val="Стиль 2"/>
    <w:basedOn w:val="Normal"/>
    <w:qFormat/>
    <w:pPr>
      <w:jc w:val="both"/>
    </w:pPr>
    <w:rPr>
      <w:sz w:val="28"/>
      <w:szCs w:val="20"/>
    </w:rPr>
  </w:style>
  <w:style w:type="paragraph" w:styleId="Style39">
    <w:name w:val="Заголовок оглавления"/>
    <w:basedOn w:val="Heading1"/>
    <w:next w:val="Normal"/>
    <w:qFormat/>
    <w:pPr>
      <w:keepLines/>
      <w:numPr>
        <w:ilvl w:val="0"/>
        <w:numId w:val="0"/>
      </w:numPr>
      <w:spacing w:before="480" w:after="0"/>
      <w:jc w:val="both"/>
    </w:pPr>
    <w:rPr>
      <w:rFonts w:ascii="Times New Roman" w:hAnsi="Times New Roman" w:cs="Times New Roman"/>
      <w:kern w:val="0"/>
      <w:sz w:val="28"/>
      <w:szCs w:val="28"/>
    </w:rPr>
  </w:style>
  <w:style w:type="paragraph" w:styleId="Contents1">
    <w:name w:val="TOC 1"/>
    <w:basedOn w:val="Normal"/>
    <w:next w:val="Normal"/>
    <w:pPr>
      <w:tabs>
        <w:tab w:val="clear" w:pos="708"/>
        <w:tab w:val="right" w:pos="8637" w:leader="dot"/>
      </w:tabs>
      <w:spacing w:lineRule="auto" w:line="360"/>
    </w:pPr>
    <w:rPr>
      <w:sz w:val="24"/>
      <w:szCs w:val="24"/>
    </w:rPr>
  </w:style>
  <w:style w:type="paragraph" w:styleId="Contents2">
    <w:name w:val="TOC 2"/>
    <w:basedOn w:val="Normal"/>
    <w:next w:val="Normal"/>
    <w:pPr>
      <w:spacing w:before="0" w:after="100"/>
      <w:ind w:left="240" w:hanging="0"/>
    </w:pPr>
    <w:rPr>
      <w:sz w:val="24"/>
      <w:szCs w:val="24"/>
    </w:rPr>
  </w:style>
  <w:style w:type="paragraph" w:styleId="Contents3">
    <w:name w:val="TOC 3"/>
    <w:basedOn w:val="Normal"/>
    <w:next w:val="Normal"/>
    <w:pPr>
      <w:spacing w:before="0" w:after="100"/>
      <w:ind w:left="480" w:hanging="0"/>
    </w:pPr>
    <w:rPr>
      <w:sz w:val="24"/>
      <w:szCs w:val="24"/>
    </w:rPr>
  </w:style>
  <w:style w:type="paragraph" w:styleId="411">
    <w:name w:val="Заголовок 4_1"/>
    <w:basedOn w:val="Normal"/>
    <w:qFormat/>
    <w:pPr>
      <w:spacing w:lineRule="auto" w:line="360"/>
      <w:ind w:firstLine="709"/>
      <w:jc w:val="both"/>
    </w:pPr>
    <w:rPr>
      <w:b/>
      <w:sz w:val="28"/>
      <w:szCs w:val="28"/>
    </w:rPr>
  </w:style>
  <w:style w:type="paragraph" w:styleId="ConsPlusNormal">
    <w:name w:val="ConsPlusNormal"/>
    <w:qFormat/>
    <w:pPr>
      <w:widowControl w:val="false"/>
      <w:autoSpaceDE w:val="false"/>
      <w:bidi w:val="0"/>
      <w:ind w:firstLine="720"/>
    </w:pPr>
    <w:rPr>
      <w:rFonts w:ascii="Arial" w:hAnsi="Arial" w:eastAsia="Times New Roman" w:cs="Arial"/>
      <w:color w:val="auto"/>
      <w:sz w:val="20"/>
      <w:szCs w:val="20"/>
      <w:lang w:val="ru-RU" w:bidi="ar-SA" w:eastAsia="zh-CN"/>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hyperlink" Target="" TargetMode="External"/><Relationship Id="rId11" Type="http://schemas.openxmlformats.org/officeDocument/2006/relationships/hyperlink" Target="" TargetMode="External"/><Relationship Id="rId12" Type="http://schemas.openxmlformats.org/officeDocument/2006/relationships/hyperlink" Target="" TargetMode="External"/><Relationship Id="rId13" Type="http://schemas.openxmlformats.org/officeDocument/2006/relationships/hyperlink" Target="https://memo.hse.ru/" TargetMode="External"/><Relationship Id="rId14" Type="http://schemas.openxmlformats.org/officeDocument/2006/relationships/hyperlink" Target="https://edu.gov.ru/national-project" TargetMode="External"/><Relationship Id="rId15" Type="http://schemas.openxmlformats.org/officeDocument/2006/relationships/hyperlink" Target="http://www.xn----btbcfzgflvfabrih2eye.xn--p1ai/news/190925.html" TargetMode="External"/><Relationship Id="rId16" Type="http://schemas.openxmlformats.org/officeDocument/2006/relationships/hyperlink" Target="http://www.xn----btbcfzgflvfabrih2eye.xn--p1ai/news/191023.html" TargetMode="External"/><Relationship Id="rId17" Type="http://schemas.openxmlformats.org/officeDocument/2006/relationships/hyperlink" Target="" TargetMode="External"/><Relationship Id="rId18" Type="http://schemas.openxmlformats.org/officeDocument/2006/relationships/hyperlink" Target="" TargetMode="External"/><Relationship Id="rId19" Type="http://schemas.openxmlformats.org/officeDocument/2006/relationships/hyperlink" Target="" TargetMode="External"/><Relationship Id="rId20" Type="http://schemas.openxmlformats.org/officeDocument/2006/relationships/image" Target="media/image9.wmf"/><Relationship Id="rId21" Type="http://schemas.openxmlformats.org/officeDocument/2006/relationships/hyperlink" Target="" TargetMode="External"/><Relationship Id="rId22" Type="http://schemas.openxmlformats.org/officeDocument/2006/relationships/image" Target="media/image10.wmf"/><Relationship Id="rId23" Type="http://schemas.openxmlformats.org/officeDocument/2006/relationships/hyperlink" Target="http://psychology.academic.ru/1518/&#1086;&#1090;&#1085;&#1086;&#1096;&#1077;&#1085;&#1080;&#1077;" TargetMode="Externa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61</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2021-01-09T20:51:00Z</dcterms:created>
  <dc:creator>Windows User</dc:creator>
  <dc:description/>
  <cp:keywords> </cp:keywords>
  <dc:language>en-US</dc:language>
  <cp:lastModifiedBy>Родители</cp:lastModifiedBy>
  <dcterms:modified xsi:type="dcterms:W3CDTF">2021-01-10T06:46:00Z</dcterms:modified>
  <cp:revision>24</cp:revision>
  <dc:subject/>
  <dc:title>Профессиональная компетентность педагога как ресурс обеспечения безопасных здоровьесозидающих условий организации и осуществления образовательного процесса для преодоления синдрома дефицита внимания и гиперактивности обучающихся</dc:title>
</cp:coreProperties>
</file>